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737 vom 5. Oktober 2015</w:t>
      </w:r>
    </w:p>
    <w:p>
      <w:r>
        <w:t>VD Tribunal cantonal, 2015-10-05, FR</w:t>
      </w:r>
    </w:p>
    <w:p>
      <w:r>
        <w:rPr>
          <w:b/>
        </w:rPr>
        <w:t xml:space="preserve">Quelle: </w:t>
      </w:r>
      <w:r>
        <w:t>https://mcp.opencaselaw.ch/entscheid/vd_findinfo_D_cision___2015___737</w:t>
      </w:r>
    </w:p>
    <w:p>
      <w:r>
        <w:t>FR: VD_FINDINFO Décision / 2015 / 737 du 5 octobre 2015</w:t>
      </w:r>
    </w:p>
    <w:p>
      <w:r>
        <w:t>IT: VD_FINDINFO Décision / 2015 / 737 del 5 ottobre 2015</w:t>
      </w:r>
    </w:p>
    <w:p>
      <w:pPr>
        <w:pStyle w:val="Heading2"/>
      </w:pPr>
      <w:r>
        <w:t>Regeste</w:t>
      </w:r>
    </w:p>
    <w:p>
      <w:r>
        <w:t>FAUX INTELLECTUEL DANS LES TITRES, FAUX MATÉRIEL DANS LES TITRES, DÉCISION D'IRRECEVABILITÉ | 251 ch. 1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1B_709/2012 du 21 février 2013 c. 3.1; TF 1B_67/2012 du 29 mai 2012 c. 2.2).</w:t>
      </w:r>
    </w:p>
    <w:p>
      <w:r>
        <w:rPr>
          <w:b/>
        </w:rPr>
        <w:t>E. 3</w:t>
      </w:r>
    </w:p>
    <w:p>
      <w:r>
        <w:t>Le recourant estime que les éléments constitutifs de l’infraction de faux dans les titres seraient réalisés.</w:t>
      </w:r>
    </w:p>
    <w:p>
      <w:r>
        <w:rPr>
          <w:b/>
        </w:rPr>
        <w:t>E. 3.1</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Pour ce qui est de l’aspect subjectif, le faux dans les titres est une infraction intentionnelle, le dol éventuel étant suffisant. L'art. 251 CP exige de surcroît un dessein spécial, qui peut se présenter sous deux formes alternatives, soit le dessein de nuire ou le dessein d'obtenir un avantage illicite (Corboz, Les infractions en droit suisse, 3 e éd, Berne 2010, vol. II, n. 171 ss ad art. 251 CP). S'agissant des éléments objectifs de l'infraction, sont notamment des titres tous les écrits destinés et propres à prouver un fait ayant une portée juridique (cf. art. 110 ch. 4 CP).</w:t>
      </w:r>
    </w:p>
    <w:p>
      <w:r>
        <w:rPr>
          <w:b/>
        </w:rPr>
        <w:t>E. 3.2</w:t>
      </w:r>
    </w:p>
    <w:p>
      <w:r>
        <w:t>En l’espèce, le Ministère public a relevé à raison que le but poursuivi par Y.________ SA en produisant les prétendues fausses factures était flou – ce que le recourant a lui-même admis – et demeurait incompréhensible, cela d’autant plus que leur production avait finalement servi les intérêts du recourant. Cette analyse doit être suivie. En effet, le recourant se contente d’affirmer que « le dessein de [lui] nuire ressort clairement de l’état de fait dans la mesure où Y.________ SA tente par tous les moyens de ne pas [lui] payer les honoraires en déposant moulte (sic) pièces falsifiées destinées à faire croire qu’[il] a bel et bien été payé pour les commissions qui lui seraient dues ». Ces déclarations – qui ne sont étayées par aucune pièce du dossier – ne permettent toutefois pas de retenir le moindre indice concret d’un dessein de nuire au sens de l’art. 251 CP. La volonté délictueuse imputable à Y.________ SA ou à ses administrateurs n’étant pas établie, les éléments constitutifs de l’infraction de faux dans les titres ne sont manifestement pas réunis. En outre, aucune mesure d’instruction complémentaire ne permettrait d’aboutir à une appréciation différente. C’est ainsi à bon droit que le Procureur a rendu une ordonnance de non-entrée en matière.</w:t>
      </w:r>
    </w:p>
    <w:p>
      <w:r>
        <w:rPr>
          <w:b/>
        </w:rPr>
        <w:t>E. 4</w:t>
      </w:r>
    </w:p>
    <w:p>
      <w:r>
        <w:t>En définitive, le recours, mal fondé, doit être rejeté et l'ordonnance attaquée confirmée. Les frais de la procédure de recours, constitués du seul émolument d’arrêt,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10 juillet 2015 est confirmée. III. Les frais de la procédure de recours, par 660 fr. (six cent soixante francs), sont mis à la charge de S.________. IV. Le présent arrêt est exécutoire. Le président :               La greffière : Du Le présent arrêt, dont la rédaction a été approuvée à huis clos, est notifié, par l'envoi d'une copie complète, à : - M. Pascal Junod, avocat (pour S.________),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