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736 vom 3. September 2015</w:t>
      </w:r>
    </w:p>
    <w:p>
      <w:r>
        <w:t>VD Tribunal cantonal, 2015-09-03, FR</w:t>
      </w:r>
    </w:p>
    <w:p>
      <w:r>
        <w:rPr>
          <w:b/>
        </w:rPr>
        <w:t xml:space="preserve">Quelle: </w:t>
      </w:r>
      <w:r>
        <w:t>https://mcp.opencaselaw.ch/entscheid/vd_findinfo_D_cision___2015___736</w:t>
      </w:r>
    </w:p>
    <w:p>
      <w:r>
        <w:t>FR: VD_FINDINFO Décision / 2015 / 736 du 3 septembre 2015</w:t>
      </w:r>
    </w:p>
    <w:p>
      <w:r>
        <w:t>IT: VD_FINDINFO Décision / 2015 / 736 del 3 settembre 2015</w:t>
      </w:r>
    </w:p>
    <w:p>
      <w:pPr>
        <w:pStyle w:val="Heading2"/>
      </w:pPr>
      <w:r>
        <w:t>Regeste</w:t>
      </w:r>
    </w:p>
    <w:p>
      <w:r>
        <w:t>ADMISSION DE LA DEMANDE, CONCURRENCE DÉLOYALE, DÉCISION D'IRRECEVABILITÉ | 23 LCD, 3 LCD, 4 let. a LCD,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partie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Selon l'art. 4 let. a LCD, agit de façon déloyale celui qui incite un client à rompre un contrat en vue d'en conclure un autre avec lui. Selon l'interprétation donnée à cette disposition par la jurisprudence, on ne peut parler de rupture de contrat au sens de l’art. 4 let. a LCD que lorsqu'un contrat est violé,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 CREP 30 juin 2011/274 et les réf. citées).</w:t>
      </w:r>
    </w:p>
    <w:p>
      <w:r>
        <w:rPr>
          <w:b/>
        </w:rPr>
        <w:t>E. 2.3</w:t>
      </w:r>
    </w:p>
    <w:p>
      <w:r>
        <w:t>En l’espèce, il est vrai que le non-renouvellement des contrats par le Z.________ au 30 avril 2015, respectivement par le C.________ au 31 juillet 2015, paraît conforme à ce que prévoient lesdits contrats (P. 10/2/2 annexe A, pt. 5 et P. 10/2/3 annexe A, pt. 5). Toutefois, la recourante a expliqué qu’elle avait résilié le contrat de K.________ le 25 mars 2015 au motif qu’elle avait reçu diverses informations selon lesquelles cette dernière oeuvrait pour s’accaparer des contrats et détourner des clients (P. 8/1). Ses soupçons ont été confortés par le rapport établi par un détective privé engagé par la suite, rapport dont il ressort que la prévenue a eu des contacts avec le Z.________ et le C.________ après le 8 mai 2015, date à laquelle elle a elle-même résilié son contrat de travail avec effet immédiat (P. 4/5). On peut également voir une confirmation des soupçons de la recourante dans le fait que K.________ aurait utilisé une adresse e-mail privée dans ses relations avec les clients de son employeur dès le 16 avril 2015 – soit avant l’échéance de son contrat de travail – puis en utilisant dès le 30 avril 2015 une nouvelle adresse professionnelle, étant précisé que les courriels de l’intimée comportaient la signature « K.________ [...] Sàrl » dès le 3 juin 2015  (P. 10/2/5 à 9). Au vu de ces éléments, on ne peut exclure que, par ses agissements, la prévenue ait à tout le moins cherché à inciter le Z.________ et le C.________, avant même l’échéance prévue par les deux contrats les liant à U.________ SA et avant le terme de son contrat de travail, à les rompre pour en conclure d’autres avec elle personnellement. A cet égard, on relèvera que la tentative est également punissable s’agissant de l’art. 23 LCD (art. 22 CP [Code pénal suisse du 21 décembre 1937; RS 311.0] ; Killias/Gilléron in Hilty/Arpagaus [éd.], Basler Kommentar, Bundesgesetz gegen den unlauteren Wettbewerb (UWG), 2013, n. 45 ad. art. 23 LCD). A ce stade, il paraît donc nécessaire de clarifier ces points et le prononcé d'une ordonnance de non-entrée en matière n'entre pas en ligne de compte.</w:t>
      </w:r>
    </w:p>
    <w:p>
      <w:r>
        <w:rPr>
          <w:b/>
        </w:rPr>
        <w:t>E. 3</w:t>
      </w:r>
    </w:p>
    <w:p>
      <w:r>
        <w:t>Il résulte de ce qui précède que le recours doit être admis et l’ordonnance attaquée annulée. Le dossier de la cause sera renvoyé au Ministère public de l'arrondissement de Lausanne pour qu’il procède dans le sens des considérants. Il lui appartiendra également, au vu notamment des pièces produites par la recourante dans le cadre de la procédure de recours dont il n’avait pas connaissance jusqu’alors, de se prononcer sur l’opportunité de procéder à une perquisition et à un éventuel séquestre. Les frais de la procédure de recours, constitués en l'espèce du seul émolument d'arrêt, par 770 fr. (art. 20 al. 1 TFIP [Tarif des frais de procédure et indemnités en matière pénale du 28 septembre 2010 ; RSV 312.03.1]), seront laissés à la charge de l'Etat (art. 428 al. 4 CPP). S’agissant des dépens réclamés par la recourante, il lui appartiendra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25 juin 2015 est annulée. III. Le dossier de la cause est renvoyé au Ministère public de l'arrondissement de Lausanne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 Bernard Katz, avocat (pour U.________ 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