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735 vom 8. Oktober 2015</w:t>
      </w:r>
    </w:p>
    <w:p>
      <w:r>
        <w:t>VD Tribunal cantonal, 2015-10-08, FR</w:t>
      </w:r>
    </w:p>
    <w:p>
      <w:r>
        <w:rPr>
          <w:b/>
        </w:rPr>
        <w:t xml:space="preserve">Quelle: </w:t>
      </w:r>
      <w:r>
        <w:t>https://mcp.opencaselaw.ch/entscheid/vd_findinfo_D_cision___2015___735</w:t>
      </w:r>
    </w:p>
    <w:p>
      <w:r>
        <w:t>FR: VD_FINDINFO Décision / 2015 / 735 du 8 octobre 2015</w:t>
      </w:r>
    </w:p>
    <w:p>
      <w:r>
        <w:t>IT: VD_FINDINFO Décision / 2015 / 735 del 8 ottobre 2015</w:t>
      </w:r>
    </w:p>
    <w:p>
      <w:pPr>
        <w:pStyle w:val="Heading2"/>
      </w:pPr>
      <w:r>
        <w:t>Regeste</w:t>
      </w:r>
    </w:p>
    <w:p>
      <w:r>
        <w:t>INTERRUPTION, EXÉCUTION DES PEINES ET DES MESURES, PEINE PRIVATIVE DE LIBERTÉ, MALADIE, ÉTAT DE SANTÉ, CAPACITÉ DE SUBIR LA DÉTENTION, ÉTABLISSEMENT PÉNITENTIAIRE | 92 CP, 38 al. 1 LEP</w:t>
      </w:r>
    </w:p>
    <w:p>
      <w:pPr>
        <w:pStyle w:val="Heading2"/>
      </w:pPr>
      <w:r>
        <w:t>Erwägungen</w:t>
      </w:r>
    </w:p>
    <w:p>
      <w:r>
        <w:rPr>
          <w:b/>
        </w:rPr>
        <w:t>E. 1.1</w:t>
      </w:r>
    </w:p>
    <w:p>
      <w:r>
        <w:t>En vertu de l’art. 38 al. 1 LEP, les décisions rendues par le juge d'application des peines et par le collège des juges d'application des peines peuvent faire l'objet d'un recours auprès de la Chambre des recours pénale du Tribunal cantonal. La procédure est régie par les dispositions du CPP (Code de procédure pénale suisse du 5 octobre 2007, RS 312.0) relatives au recours (art. 38 al. 2 LEP). Le recours doit être adressé par écrit, dans un délai de dix jours dès la notification de la décision attaquée (cf. art. 384 let. b CPP), à l’autorité de recours (art. 396 al. 1 CPP).</w:t>
      </w:r>
    </w:p>
    <w:p>
      <w:r>
        <w:rPr>
          <w:b/>
        </w:rPr>
        <w:t>E. 1.2</w:t>
      </w:r>
    </w:p>
    <w:p>
      <w:r>
        <w:t>En l’espèce, le recours a été interjeté en temps utile devant l’autorité compétente et satisfait aux conditions de forme posées par l’art. 385 al. 1 CPP, de sorte qu’il y a lieu d’entrer en matière.</w:t>
      </w:r>
    </w:p>
    <w:p>
      <w:r>
        <w:rPr>
          <w:b/>
        </w:rPr>
        <w:t>E. 2.1</w:t>
      </w:r>
    </w:p>
    <w:p>
      <w:r>
        <w:t>Le recourant affirme que, contrairement aux conclusions de la Dresse [...], il ne serait pas médicalement apte à poursuivre l’exécution de sa peine privative de liberté. Il soutient qu’il ne bénéficierait pas d’une poursuite scrupuleuse des prescriptions médicales et relève avoir dû faire l’objet de nombreuses hospitalisations urgentes. Il expose que les juges cantonaux n’auraient pas les connaissances médicales nécessaires pour se prononcer sur les conclusions de la Dresse [...] et la gravité des pathologies dont il souffre, et requiert de ce fait la mise en œuvre d’une expertise indépendante.</w:t>
      </w:r>
    </w:p>
    <w:p>
      <w:r>
        <w:rPr>
          <w:b/>
        </w:rPr>
        <w:t>E. 2.2</w:t>
      </w:r>
    </w:p>
    <w:p>
      <w:r>
        <w:t>Au regard de l’art. 92 CP, l’exécution des peines et des mesures peut être interrompue pour un motif grave. Selon la jurisprudence, le traitement et la guérison d'un détenu doivent en principe être assurés dans le cadre de l'exécution, au besoin adaptés dans la mesure nécessaire, de la peine. Une exception à ce principe n'est possible que si la maladie est d'une nature telle qu'elle entraîne une incapacité complète de subir une incarcération de durée indéterminée ou du moins de longue durée et si la mise en liberté s'impose à ce point que la nécessité des soins et de la guérison doit l'emporter sur les buts poursuivis par l'exécution de la peine. Lorsqu'un traitement médical approprié reste compatible avec l'incarcération, il n'y a pas lieu d'interrompre, respectivement d'ajourner, l'exécution de la peine (TF 6B_249/2009 précité; ATF 106 IV 321 c. 7a; 103 Ib 184 c. 3). Le report de l'exécution de la peine pour une durée indéterminée ne doit ainsi être admis qu'avec une grande retenue. La simple éventualité d'un danger pour la vie ou la santé ne suffit manifestement pas à le justifier. Il faut qu'il apparaisse hautement probable que l'exécution de la peine mettra en danger la vie ou la santé de l'intéressé (ATF 108 Ia 69 c. 2c). Il n’existe en revanche aucune liste exhaustive de motifs médicaux pertinents ou non pertinents. L'art. 92 CP ne posant aucune exigence à ce sujet, l'origine du risque médical invoqué à l'appui d'une demande d'interruption ou d’ajournement est indifférente. La possibilité d'une grave atteinte est susceptible à elle seule, indépendamment de sa cause, de justifier l'interruption ou l’ajournement de l'exécution de la peine (ATF 136 IV 97 c. 5.1). Quant à la gravité des motifs médicaux retenus, elle atteint toujours le degré requis pour l'application de l'art. 92 CP si elle est telle que la poursuite de l'exécution violerait l'interdiction des peines cruelles, inhumaines ou dégradantes, prévue aux art. 10 al. 3 Cst. (Constitution fédérale de la Confédération suisse du 18 avril 1999; RS 101), 3 CEDH (Convention du 4 novembre 1950 de sauvegarde des droits de l’homme et des libertés fondamentales; RS 0.101),</w:t>
      </w:r>
    </w:p>
    <w:p>
      <w:r>
        <w:rPr>
          <w:b/>
        </w:rPr>
        <w:t>E. 2.3</w:t>
      </w:r>
    </w:p>
    <w:p>
      <w:r>
        <w:t>Dans le cas d’espèce, la situation de A.________ est certes sérieuse et ne doit pas être minimisée. Cependant, les conclusions du SMPP ainsi que celles de la Dresse [...] sont claires quant à la prise en charge et au suivi de traitement du recourant. En effet, le SMPP suit régulièrement A.________ et lui prodigue les soins nécessaires face à ses problèmes de santé. Il a par ailleurs été transféré aux HUG lorsque cela s’est avéré indispensable. Au demeurant, A.________ n’allègue aucun élément concret susceptible de mettre en doute ces avis médicaux. Il n’y a dès lors aucun motif de s’écarter des conclusions du SMPP et de la Dresse [...], ni d’ordonner une expertise indépendante. 3. En conclusion, le recours doit être rejeté sans autres échanges d’écritures (art. 390 al. 2 CPP) et l’ordonnance du Juge d’application des peines confirmée. Les frais de la procédure de recours, constitués en l’espèce de l’émolument d'arrêt, par 1’210 fr. (art. 20 al. 1 TFIP [Tarif des frais de procédure et indemnités en matière pénale du 28 septembre 2010; RSV 312.03.1]), et des frais imputables à la défense d’office (art. 422 al. 1 et 2 let. a CPP), fixés à 270 fr., plus la TVA, par 21 fr. 60, soit un total de 291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29 septembre 2015 est confirmée. III. L’indemnité allouée au défenseur de A.________ est fixée à 291 fr. 60 (deux cent nonante et un francs et soixante centimes). IV. Les frais d’arrêt, par 1’210 fr. (mille deux cent dix francs), ainsi que l’indemnité due au défenseur d’office de A.________, par 291 fr. 60 (deux cent nonante et un francs et soixante centimes), sont mis à la charge de ce dernier. V. Le remboursement à l’Etat de l’indemnité allouée au chiffre III ci-dessus ne sera exigible que pour autant que la situation économique de A.________ se soit améliorée. VI. Le présent arrêt est exécutoire. Le président :               La greffière : Du Le présent arrêt, dont la rédaction a été approuvée à huis clos, est notifié, par l'envoi d'une copie complète, à : - M. Jean Lob, avocat (pour A.________), - Ministère public central, et communiqué à : - Mme la Juge d’application des peines, - Ministère public de l’arrondissement de Lausanne, - Office d’exécution des peines (OEP/PPL/1202/VRI/BD), - Etablissement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r>
        <w:rPr>
          <w:b/>
        </w:rPr>
        <w:t>E. 7</w:t>
      </w:r>
    </w:p>
    <w:p>
      <w:r>
        <w:t>Pacte ONU II (Pacte international du 16 décembre 1966 relatif aux droits civils et politiques; RS 0.103.2) et dans la Convention des Nations Unies du 10 décembre 1984 contre la torture et autres peines ou traitements cruels, inhumains ou dégradants conclue à New York (RS 0.105). Le motif médical invoqué est également toujours grave si la poursuite de l'exécution met concrètement en danger la vie du condamné. Dans les autres cas, la gravité requise peut être atteinte si la poursuite de l'exécution, sans menacer directement la vie du condamné, fait néanmoins courir à celui-ci un risque sérieux pour sa santé. Pour déterminer si un tel degré est atteint, la gravité des motifs retenus ne doit pas s'apprécier de manière abstraite, mais en rapport avec la situation concrète du condamné, et en fonction de l'appui offert par les structures médicales quant aux soins disponibles à l'intérieur du système pénitentiaire, notamment au regard des formes dérogatoires d'exécution prévues par l'art. 80 CP (ATF 136 IV 97 précité; Baechtold, in: Commentaire bâlois, Strafrecht, vol. I, 3e éd., Bâle 2013, n. 12 ad art. 92 CP). C'est dire que la solution adoptée dans un cas particulier pourra difficilement servir de précédent pour statuer sur une demande d'interruption ou d’ajournement présentée par un autre condamné. Le principe de l'égalité de traitement commande de traiter de la même manière les situations semblables et de manière différente les situations dissemblables (ATF 136 IV 97 précité; ATF 135 V 361 c. 5.4.1, p. 369 s. et les arrêts cités). L'appréciation de la gravité des motifs médicaux est une décision d'espèce, qui n'autorise pas, en général, de comparaison pertinente au regard de l'égalité de traitement (ATF 136 IV 97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