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730 vom 5. Oktober 2015</w:t>
      </w:r>
    </w:p>
    <w:p>
      <w:r>
        <w:t>VD Tribunal cantonal, 2015-10-05, FR</w:t>
      </w:r>
    </w:p>
    <w:p>
      <w:r>
        <w:rPr>
          <w:b/>
        </w:rPr>
        <w:t xml:space="preserve">Quelle: </w:t>
      </w:r>
      <w:r>
        <w:t>https://mcp.opencaselaw.ch/entscheid/vd_findinfo_D_cision___2015___730</w:t>
      </w:r>
    </w:p>
    <w:p>
      <w:r>
        <w:t>FR: VD_FINDINFO Décision / 2015 / 730 du 5 octobre 2015</w:t>
      </w:r>
    </w:p>
    <w:p>
      <w:r>
        <w:t>IT: VD_FINDINFO Décision / 2015 / 730 del 5 ottobre 2015</w:t>
      </w:r>
    </w:p>
    <w:p>
      <w:pPr>
        <w:pStyle w:val="Heading2"/>
      </w:pPr>
      <w:r>
        <w:t>Regeste</w:t>
      </w:r>
    </w:p>
    <w:p>
      <w:r>
        <w:t>DÉTENTION PROVISOIRE, RISQUE DE COLLUSION |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 ATF 124 I 208 c. 3 ; ATF 116 Ia 413 c. 3c ; TF 1B_423/2010 du 17 janvier 2011 c. 4.1 ; TF 1B_410/2010 du 23 décembre 2010 c.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 TF 1B_423/2010 du 17 janvier 2011 c. 4.1 ; Piquerez, Traité de procédure pénale suisse, 2 e éd., Zurich 2006, n. 845 ; Schmocker, op. cit., n. 8 ad art. 221 CPP, p. 1025 : Forster, in : Niggli/Heer/Wiprächtiger [éd.], Basler Kommentar, Schweizerische Strafprozessordnung,</w:t>
      </w:r>
    </w:p>
    <w:p>
      <w:r>
        <w:rPr>
          <w:b/>
        </w:rPr>
        <w:t>E. 2.2</w:t>
      </w:r>
    </w:p>
    <w:p>
      <w:r>
        <w:t>En l’espèce, l’appréhension du recourant a été possible grâce aux mesures de surveillance mises en place par la police depuis le mois de juillet 2015. I.________ a d’ailleurs indiqué que le recourant lui avait livré 77 grammes de cocaïne brute depuis le mois d’août 2015, que celui-ci était le fournisseur du dealer auprès duquel il s’approvisionnait jusqu’à la fin du mois de juillet 2015 et que les deux fingers retrouvés à son domicile lui avaient été apportés par le recourant, qui les avait expulsés de son rectum (cf. PV aud. du 17 septembre 2015). Il ressort à cet égard du rapport d’investigation du 16 septembre 2015 que les enquêteurs avaient constaté une odeur pouvant être assimilée à de la matière fécale sur les fingers retrouvés. La perquisition effectuée au domicile du recourant, dans le canton du Jura, a par ailleurs permis la découverte de 3'400 fr. ainsi que de plusieurs cartes SIM et téléphones cellulaires. Au vu de ce qui précède, il existe à ce stade de l’enquête une présomption suffisamment sérieuse de culpabilité à l’encontre de Y.________, ce que ce dernier ne conteste d’ailleurs pas.</w:t>
      </w:r>
    </w:p>
    <w:p>
      <w:r>
        <w:rPr>
          <w:b/>
        </w:rPr>
        <w:t>E. 3.1</w:t>
      </w:r>
    </w:p>
    <w:p>
      <w:r>
        <w:t>Le recourant conteste le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w:t>
      </w:r>
    </w:p>
    <w:p>
      <w:r>
        <w:rPr>
          <w:b/>
        </w:rPr>
        <w:t>E. 3.3</w:t>
      </w:r>
    </w:p>
    <w:p>
      <w:r>
        <w:t>En l’espèce, l’enquête étant à ses débuts, il y a lieu d’établir l’ampleur de l’activité délictueuse du recourant. En particulier, les données des téléphones cellulaires et des cartes SIM saisis en possession du recourant et à son domicile doivent être extraites et analysées en vue notamment d’identifier d’autres personnes impliquées dans le trafic. En outre, comme le relève à juste titre le Ministère public, si le recourant était libéré, il pourrait contacter I.________ afin qu’ils s’entendent sur leurs versions des faits et que celui-ci revienne sur ses mises en cause. En l’état, il faut donc éviter que le recourant n’entrave l’instruction en faisant disparaître des preuves et en prenant contact avec d’éventuels complices. Au vu de ce qui précède, le risque de collusion s'oppose à la levée de la détention provisoire du recourant.</w:t>
      </w:r>
    </w:p>
    <w:p>
      <w:r>
        <w:rPr>
          <w:b/>
        </w:rPr>
        <w:t>E. 3.4</w:t>
      </w:r>
    </w:p>
    <w:p>
      <w:r>
        <w:t>Enfin, aucune mesure de substitution n’est à même, en l’état, de prévenir le risque retenu. En particulier l’assignation à résidence et l’interdiction de contacter de quelque manière que ce soit I.________, sauf autorisation écrite du Ministère public, ne sont pas de nature à parer efficacement au risque de collusion. La situation familiale et les ennuis de santé du recourant ne sauraient par ailleurs être un motif de libération tant que l’enquête n’aura pas permis de cerner l’entier de son activité délictueuse. Le maintien de Y.________ en détention provisoire est ainsi justifié.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Y.________ est détenu depuis le 15 septembre 2015, soit depuis presque un mois. Compte tenu des actes qui lui sont reprochés, le recourant s'expose à une peine privative de liberté d’une durée manifestement supérieure à celle de la détention provisoire subie à ce jour. Une détention provisoire d’une durée d’un mois ne serait en outre pas suffisante pour permettre au Ministère public d’effectuer toutes les investigations nécessaires.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630 fr., plus la TVA par 50 fr. 40, soit un total de 680 fr. 40, seront mis à la charge de Y.________,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septembre 2015 est confirmée. III. L’indemnité allouée au défenseur d’office de Y.________ est fixée à 680 fr. 40 (six cent huitante francs et quarante centimes). IV. Les frais d’arrêt, par 770 fr. (sept cent septante francs), ainsi que l’indemnité due au défenseur d’office de Y.________, par 680 fr. 40 (six cent huitante francs et quarante centimes), sont mis à la charge de ce dernier. V. Le remboursement à l'Etat de l'indemnité allouée au chiffre III ci-dessus ne sera exigible que pour autant que la situation économique de Y.________ se soit améliorée. VI. Le présent arrêt est exécutoire. Le président :               La greffière : Du Le présent arrêt, dont la rédaction a été approuvée à huis clos, est notifié, par l'envoi d'une copie complète, à : - M. Christophe Piguet, avocat (pour Y.________),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