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724 vom 25. September 2015</w:t>
      </w:r>
    </w:p>
    <w:p>
      <w:r>
        <w:t>VD Tribunal cantonal, 2015-09-25, FR</w:t>
      </w:r>
    </w:p>
    <w:p>
      <w:r>
        <w:rPr>
          <w:b/>
        </w:rPr>
        <w:t xml:space="preserve">Quelle: </w:t>
      </w:r>
      <w:r>
        <w:t>https://mcp.opencaselaw.ch/entscheid/vd_findinfo_D_cision___2015___724</w:t>
      </w:r>
    </w:p>
    <w:p>
      <w:r>
        <w:t>FR: VD_FINDINFO Décision / 2015 / 724 du 25 septembre 2015</w:t>
      </w:r>
    </w:p>
    <w:p>
      <w:r>
        <w:t>IT: VD_FINDINFO Décision / 2015 / 724 del 25 settembre 2015</w:t>
      </w:r>
    </w:p>
    <w:p>
      <w:pPr>
        <w:pStyle w:val="Heading2"/>
      </w:pPr>
      <w:r>
        <w:t>Regeste</w:t>
      </w:r>
    </w:p>
    <w:p>
      <w:r>
        <w:t>DÉFENSE D'OFFICE, INDEMNITÉ{EN GÉNÉRAL}, JUGE UNIQUE | 135 CPP (CH)</w:t>
      </w:r>
    </w:p>
    <w:p>
      <w:pPr>
        <w:pStyle w:val="Heading2"/>
      </w:pPr>
      <w:r>
        <w:t>Erwägungen</w:t>
      </w:r>
    </w:p>
    <w:p>
      <w:r>
        <w:rPr>
          <w:b/>
        </w:rPr>
        <w:t>E. 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c.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Lorsque, comme en l’espèce, le recours porte uniquement sur les conséquences économiques accessoires d'une décision et que le montant litigieux ne dépasse pas 5'000 fr., un juge de la Cour de céans statue comme juge unique (art. 395 let. b CPP et 13 al. 2 LVCPP). En l'espèce, interjeté dans le délai légal auprès de l’autorité compétente par le défenseur d'office et satisfaisant aux conditions de forme posées par l’art. 385 al. 1 CPP, le recours est recevable.</w:t>
      </w:r>
    </w:p>
    <w:p>
      <w:r>
        <w:rPr>
          <w:b/>
        </w:rPr>
        <w:t>E. 2.1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 10.1). Dans le canton de Vaud, l'indemnité horaire de l’avocat d’office breveté est usuellement fixée à 180 fr., TVA en sus, et celle de l’avocat-stagiaire à 110 fr. (cf. art. 2 al. 1 RAJ [Règlement du</w:t>
      </w:r>
    </w:p>
    <w:p>
      <w:r>
        <w:rPr>
          <w:b/>
        </w:rPr>
        <w:t>E. 2.2</w:t>
      </w:r>
    </w:p>
    <w:p>
      <w:r>
        <w:t>En l’espèce, il apparaît que le recourant a produit le 5 février 2015 un bordereau de 10 pièces comprenant les contrats de travail conclus entre la prévenue P.________ et ses employeurs successifs. Ce bordereau faisait suite au courrier du Ministère public du 23 janvier 2015. Au vu de cette requête, il était nécessaire de faire une lecture, une appréciation et un tri des différentes pièces, dont certaines étaient en langue allemande. Ces opérations relevaient ainsi de l’activité de l’avocat lui-même et non de son secrétariat. Le temps allégué de 18 minutes n’est en outre pas excessif au vu de la relative difficulté de cette opération, de sorte qu’il convient d’allouer au recourant le temps consacré à l’établissement du bordereau du 5 février 2015. Par ailleurs, le Ministère public a estimé que le temps consacré par le recourant à diverses opérations liées à une affaire distincte concernant le frère de la prévenue ne pouvait être rétribué. Or, il est patent que des contacts entre le recourant et le conseil du frère de sa cliente, portant sur des affaires dont les états de fait étaient similaires même si ces dernières étaient l’objet de procédures pénales distinctes, étaient nécessaires et conformes à la défense des intérêts de la cliente du recourant. Ainsi, les opérations consistant en une entrevue et trois entretiens téléphoniques avec le confrère ainsi que la lecture de diverses correspondances de celui-ci, qui ont duré 2 heures et 36 minutes selon le recourant, ne sont pas excessives et doivent être allouées. Sur le vu de ce qui précède, les réductions opérées par le Ministère public sur le temps allégué par le recourant pour l’exercice de son mandat (28 heures et 36 minutes) n’ont pas lieu d’être, de sorte que l’indemnité d’office allouée à ce dernier doit être fixée à 5'148 fr., plus 170 fr. de débours et 425 fr. 75 de TVA sur le tout, soit à 5'743 fr. 45. 3. En définitive, le recours doit être admis et l’ordonnance attaquée réformée aux chiffres II, III et IV de son dispositif en ce sens que l’indemnité allouée au recourant est fixée à 5'743 fr. 45, TVA et débours compris. Quant aux frais de procédure, ils doivent être augmentés de 602 fr. 65 (5'743 fr. 45 - 5'140 fr. 80), de sorte qu’ils s’élèvent à 8'318 fr. 45. Le recourant obtenant gain de cause, les frais de la procédure de recours, constitués du seul émolument d'arrêt, par 630 fr. (art. 20 al. 1 TFIP [Tarif des frais de procédure et indemnités en matière pénale du 28 septembre 2010; RSV 312.03.1]), seront laissés à la charge de l’Etat (art. 423 al. 1 CPP). Le défenseur d'office qui recourt en son nom propre a droit à des honoraires, calculés sur la base du tarif horaire prévu pour l’activité déployée dans le cadre d’un mandat d’office (Ruckstuhl, in : Niggli/Heer/Wiprächtiger [éd.], op. cit., n. 16 et 18 ad art. 135 CPP; Juge unique CREP 9 novembre 2011/477). Au vu du mémoire produit et du résultat obtenu, l'indemnité qu'il convient d'allouer à ce titre au recourant doit être fixée à 270 fr., plus la TVA, par 21 fr. 60, soit 291 fr. 60 au total. Par ces motifs, le juge unique prononce : I. Le recours est admis. II. L’ordonnance pénale du 18 août 2015 est réformée comme il suit aux chiffres II, III et IV de son dispositif : II.              dit que les frais de procédure, arrêtés à 8'318 fr. 45 (huit mille trois cent dix-huit francs et quarante-cinq centimes), sont mis à la charge de P.________ ; III.              dit que les frais de défense d’office de P.________ par 5'743 fr. 45 (cinq mille sept cent quarante-trois francs et quarante-cinq centimes), TVA et débours compris, inclus dans le total des frais de justice, seront supportés par l’intéressée, pour autant que sa situation financière le permette ; IV.              alloue à Me Q.________ une indemnité totale de 5'743 fr. 45 (cinq mille sept cent quarante-trois francs et quarante-cinq centimes), dont à déduire 4'401 fr. (quatre mille quatre cent un francs) versés à titre d’avance sur indemnité, soit un solde à payer de 1’342 fr. 45 (mille trois cent quarante-deux francs et quarante-cinq centimes), pour la défense d’office de P.________. III. Une indemnité de 291 fr. 60 (deux cent nonante et un francs et soixante centimes) est allouée à l’avocat Q.________ pour la procédure de recours, à la charge de l'Etat. IV. Les frais de la procédure de recours, par 630 fr. (six cent trente francs), sont laissés à la charge de l’Etat. V. Le présent arrêt est exécutoire. Le juge unique :               La greffière : Du Le présent arrêt, dont la rédaction a été approuvée à huis clos, est notifié, par l'envoi d'une copie complète, à : - M. Q.________, avocat, - M. le Procureur général adjoint, et communiqué à : ‑ Mme 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7</w:t>
      </w:r>
    </w:p>
    <w:p>
      <w:r>
        <w:t>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Les débours comprennent notamment les photocopies, les frais de poste et ceux de télécommunication (Wehrenberg/Bernhard, in : Niggli/Heer/Wiprächtiger [éd.], Basler Kommentar, Schweizerische Strafprozessordnung, Jugend­straf­prozessordnung, 2e éd., Bâle 2014, n. 17 ad art. 429 CPP; Mizel/Réformaz, in Kuhn/Jeanneret [éd.], Commentaire romand, Code de procédure pénale suisse, Bâle 2011, n. 36 ad art. 429 CPP; CREP 24 janvier 2013/102 c. 3a; CAPE 14 mars 2012/88 c. 2.2). Selon la jurisprudence de la Cour de céans, les photocopies sont indemnisées à raison de 20 ct. par copie (CREP 7 juin 2013/353 c. 2c). Quant aux frais de poste, il a été retenu un montant de 1 fr. par lettre simple et de 5 fr. pour les envois recommandés, les enveloppes étant pour leur part comprises dans les frais généraux (Juge unique CREP 26 décembre 2012/844 c. 3c). Selon la jurisprudence de la Chambre des recours pénale, la transmission d’une copie de courrier à la partie adverse ou la transmission en copie d’une lettre ou d’un acte de l’autorité ne peut être prise en compte à titre d’activité déployée par l’avocat, s’agissant de pur travail de secrétariat. Il s’agit de frais généraux de l’avocat, qui sont compris dans l’indemnité horaire de 180 francs (cf. CREP 25 septembre 2014/699 ; CREP 28 août 2013/536).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