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723 vom 29. September 2015</w:t>
      </w:r>
    </w:p>
    <w:p>
      <w:r>
        <w:t>VD Tribunal cantonal, 2015-09-29, FR</w:t>
      </w:r>
    </w:p>
    <w:p>
      <w:r>
        <w:rPr>
          <w:b/>
        </w:rPr>
        <w:t xml:space="preserve">Quelle: </w:t>
      </w:r>
      <w:r>
        <w:t>https://mcp.opencaselaw.ch/entscheid/vd_findinfo_D_cision___2015___723</w:t>
      </w:r>
    </w:p>
    <w:p>
      <w:r>
        <w:t>FR: VD_FINDINFO Décision / 2015 / 723 du 29 septembre 2015</w:t>
      </w:r>
    </w:p>
    <w:p>
      <w:r>
        <w:t>IT: VD_FINDINFO Décision / 2015 / 723 del 29 settembre 2015</w:t>
      </w:r>
    </w:p>
    <w:p>
      <w:pPr>
        <w:pStyle w:val="Heading2"/>
      </w:pPr>
      <w:r>
        <w:t>Regeste</w:t>
      </w:r>
    </w:p>
    <w:p>
      <w:r>
        <w:t>RÉCUSATION | 56 let. f CPP (CH)</w:t>
      </w:r>
    </w:p>
    <w:p>
      <w:pPr>
        <w:pStyle w:val="Heading2"/>
      </w:pPr>
      <w:r>
        <w:t>Erwägungen</w:t>
      </w:r>
    </w:p>
    <w:p>
      <w:r>
        <w:rPr>
          <w:b/>
        </w:rPr>
        <w:t>E. 1</w:t>
      </w:r>
    </w:p>
    <w:p>
      <w:r>
        <w:t>Aux termes de l'art. 59 al. 1 let. b CPP (Code de procédure pénale suisse du 5 octobre 2007 ;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N.________ (art. 13 de la loi d’introduction du code de procédure pénale suisse [LVCPP] ; RSV 312.01), le Tribunal des mesures de contrainte devant être assimilé à un tribunal de première instance (Markus Boog, in: Basler Kommentar, Schweizerische Strafprozessordnung, Jugendstrafprozessordnung, Bâle 2014, n. 7 note 20 ad art. 59 CPP; CREP 8 mars 2013/118 c. 1).</w:t>
      </w:r>
    </w:p>
    <w:p>
      <w:r>
        <w:rPr>
          <w:b/>
        </w:rPr>
        <w:t>E. 2.1</w:t>
      </w:r>
    </w:p>
    <w:p>
      <w:r>
        <w:t>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TF 6B_629/2011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 3.2.1; ATF 134 I 20 c. 4.2; TF 1B_105/2013 du 21 mai 2013 c. 2.1). Même si elles sont établies, des erreurs de procédure ou d'appréciation commises par un magistrat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w:t>
      </w:r>
    </w:p>
    <w:p>
      <w:r>
        <w:rPr>
          <w:b/>
        </w:rPr>
        <w:t>E. 2.2</w:t>
      </w:r>
    </w:p>
    <w:p>
      <w:r>
        <w:t>En l'espèce, le requérant demande la récusation du Président du Tribunal des mesures de contrainte en incriminant l'usage des termes "prétendues conditions de détention provisoire illicites" (P. 5). Or, l’usage du terme "prétendues" pour qualifier les violations alléguées par le prévenu dans son courrier du 11 septembre 2015 ne prête pas le flanc à la critique. Il signifie simplement que dans l'attente de l'issue de la procédure en constatation devant être menée par le magistrat habilité à examiner la demande de l'intéressé, les violations invoquées par ce dernier ne sont que supposées. Le motif invoqué par le prévenu n'emporte donc pas prévention. Ainsi, en l'absence de circonstances objectives qui feraient redouter une activité partiale du magistrat, aucun motif de récusation au sens de l'art. 56 CPP n'est réalisé en l'espèce.</w:t>
      </w:r>
    </w:p>
    <w:p>
      <w:r>
        <w:rPr>
          <w:b/>
        </w:rPr>
        <w:t>E. 3</w:t>
      </w:r>
    </w:p>
    <w:p>
      <w:r>
        <w:t>En définitive, la demande de récusation déposée le 18 septembre 2015 par N.________ doit être rejetée. Les frais de la présente procédure, constitués en l’espèce du seul émolument de la décision (art. 422 al. 1 CPP), par 550 fr. (art. 20 al. 1 TFIP [tarif des frais de procédure et indemnités en matière pénale du 28 septembre 2010 ; RSV 312.03.1]), seront mis à la charge du requérant conformément à l'art. 59 al. 4, 2 e phrase, CPP. Par ces motifs, la Chambre des recours pénale prononce : I. La demande de récusation est rejetée. II. Les frais de la présente décision, par 550 fr. (cinq cent cinquante francs), sont mis à la charge de N.________. III. La présente décision est exécutoire. Le président :               Le greffier : Du La présente décision, dont la rédaction a été approuvée à huis clos, est notifiée, par l'envoi d'une copie complète, à : - M. Matthieu Genillod, avocat (pour N.________), - Ministère public central, et communiquée à : ‑ M. le Président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