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720 vom 28. September 2015</w:t>
      </w:r>
    </w:p>
    <w:p>
      <w:r>
        <w:t>VD Tribunal cantonal, 2015-09-28, FR</w:t>
      </w:r>
    </w:p>
    <w:p>
      <w:r>
        <w:rPr>
          <w:b/>
        </w:rPr>
        <w:t xml:space="preserve">Quelle: </w:t>
      </w:r>
      <w:r>
        <w:t>https://mcp.opencaselaw.ch/entscheid/vd_findinfo_D_cision___2015___720</w:t>
      </w:r>
    </w:p>
    <w:p>
      <w:r>
        <w:t>FR: VD_FINDINFO Décision / 2015 / 720 du 28 septembre 2015</w:t>
      </w:r>
    </w:p>
    <w:p>
      <w:r>
        <w:t>IT: VD_FINDINFO Décision / 2015 / 720 del 28 settembre 2015</w:t>
      </w:r>
    </w:p>
    <w:p>
      <w:pPr>
        <w:pStyle w:val="Heading2"/>
      </w:pPr>
      <w:r>
        <w:t>Regeste</w:t>
      </w:r>
    </w:p>
    <w:p>
      <w:r>
        <w:t>RESTITUTION DU DÉLAI, ORDONNANCE DE CONDAMNATION | 90 CP, 94 CP, 393 al. 1 let. a CPP (CH)</w:t>
      </w:r>
    </w:p>
    <w:p>
      <w:pPr>
        <w:pStyle w:val="Heading2"/>
      </w:pPr>
      <w:r>
        <w:t>Erwägungen</w:t>
      </w:r>
    </w:p>
    <w:p>
      <w:r>
        <w:rPr>
          <w:b/>
        </w:rPr>
        <w:t>E. 1</w:t>
      </w:r>
    </w:p>
    <w:p>
      <w:r>
        <w:t>CPP, le recours est recevable.</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6B_158/2012 du 27 juillet 2012 c. 3.2 et les références citées ; juge unique CREP 16 septembre 2013/641 c. 2c). Selon l’art. 94 al. 2 CPP, la demande de restitution de délai doit être adressée, dûment motivée, par écrit et dans un délai de trente jours à compter de celui où l’empêchement a cessé, à l’autorité auprès de laquelle l’acte de procédure aurait dû être accompli et que l’acte de procédure omis doit être répété durant ce délai.</w:t>
      </w:r>
    </w:p>
    <w:p>
      <w:r>
        <w:rPr>
          <w:b/>
        </w:rPr>
        <w:t>E. 2.2</w:t>
      </w:r>
    </w:p>
    <w:p>
      <w:r>
        <w:t>En l’espèce, le recourant conteste le refus de restitution du délai pour former opposition. A cet effet, il fait valoir qu’il a confondu le délai d’opposition à l’ordonnance pénale avec celui de trente jours imparti par le Service des automobiles dans une décision qui lui avait été notifiée auparavant. Or, le délai de dix jours pour former opposition contre l’ordonnance pénale du Ministère public était clairement indiqué au bas de ladite ordonnance. Le fait que le recourant ait également reçu une décision administrative pouvant être contestée dans un délai plus long ne constitue pas un motif valable de restitution de délai. Le recourant fait également valoir qu’il souffre d’une affection neurologique chronique inguérissable et qu’il s’administre depuis plus de vingt ans une haute dose de somnifères (P. 16). Les documents produits à cet égard ne permettent toutefois pas de conclure que cette maladie était de nature à empêcher le recourant d’agir dans le délai prescrit par la loi. C’est donc à bon droit que le Ministère public a refusé de restituer au prévenu le délai pour former opposition.</w:t>
      </w:r>
    </w:p>
    <w:p>
      <w:r>
        <w:rPr>
          <w:b/>
        </w:rPr>
        <w:t>E. 3</w:t>
      </w:r>
    </w:p>
    <w:p>
      <w:r>
        <w:t>En définitive, le recours, manifestement mal fondé, doit être rejeté sans autre échange d’écritures (art. 390 al. 2 CPP) et l’ordonnance du 14 septembre 2015 confirmée en tant qu’elle rejette la requête de restitution du délai.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14 septembre 2015 est confirmée en tant qu’elle rejette la requête de restitution du délai ; elle est maintenue pour le surplus. III. Les frais de la procédure de recours, par 550 fr. (cinq cent cinquante francs), sont mis à la charge de E.________. IV. Le présent arrêt est exécutoire. Le président :               La greffière : Du Le présent arrêt, dont la rédaction a été approuvée à huis clos, est notifié, par l'envoi d'une copie complète, à : - M. E.________,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