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718 vom 11. September 2015</w:t>
      </w:r>
    </w:p>
    <w:p>
      <w:r>
        <w:t>VD Tribunal cantonal, 2015-09-11, FR</w:t>
      </w:r>
    </w:p>
    <w:p>
      <w:r>
        <w:rPr>
          <w:b/>
        </w:rPr>
        <w:t xml:space="preserve">Quelle: </w:t>
      </w:r>
      <w:r>
        <w:t>https://mcp.opencaselaw.ch/entscheid/vd_findinfo_D_cision___2015___718</w:t>
      </w:r>
    </w:p>
    <w:p>
      <w:r>
        <w:t>FR: VD_FINDINFO Décision / 2015 / 718 du 11 septembre 2015</w:t>
      </w:r>
    </w:p>
    <w:p>
      <w:r>
        <w:t>IT: VD_FINDINFO Décision / 2015 / 718 del 11 settembre 2015</w:t>
      </w:r>
    </w:p>
    <w:p>
      <w:pPr>
        <w:pStyle w:val="Heading2"/>
      </w:pPr>
      <w:r>
        <w:t>Regeste</w:t>
      </w:r>
    </w:p>
    <w:p>
      <w:r>
        <w:t>HOMICIDE PAR NÉGLIGENCE, LIEN DE CAUSALITÉ, CLASSEMENT DE LA PROCÉDURE, NON-LIEU | 319 al. 1 CPP (CH), 322 al. 2 CPP (CH)</w:t>
      </w:r>
    </w:p>
    <w:p>
      <w:pPr>
        <w:pStyle w:val="Heading2"/>
      </w:pPr>
      <w:r>
        <w:t>Erwägungen</w:t>
      </w:r>
    </w:p>
    <w:p>
      <w:r>
        <w:rPr>
          <w:b/>
        </w:rPr>
        <w:t>E. 1</w:t>
      </w:r>
    </w:p>
    <w:p>
      <w:r>
        <w:t>Les parties peuvent attaquer une ordonnance de classement rendue par le ministère public en application des art. 319 ss CPP ([Code de procédure pénale du 5 octobre 2007; RS 312.0]) dans les dix jours devant l’autorité de recours (art. 322 al. 2 et 396 al. 1 CPP), qui est, dans le canton de Vaud, la Chambre des recours pénale du Tribunal cantonal (art. 13 LVCPP [loi vaudoise d’introduction au Code de procédure pénale suisse ; RSV 312.01]; art. 80 LOJV [loi vaudoise d’organisation judiciaire; RSV 173.01]). Interjeté dans le délai légal auprès de l’autorité compétente par deux parties plaignantes qui ont qualité pour recourir (art. 386 al. 1 CPP), le recours est recevable.</w:t>
      </w:r>
    </w:p>
    <w:p>
      <w:r>
        <w:rPr>
          <w:b/>
        </w:rPr>
        <w:t>E. 2</w:t>
      </w:r>
    </w:p>
    <w:p>
      <w:r>
        <w:t>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 1057 ss, 1255). Selon la jurisprudence,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 in dubio pro duriore » – qui ne figure pas expressément dans la loi mais se déduit indirectement des art. 324 al. 1 et 319 al. 1 CPP (ATF 137 IV 219 c. 7; TF 1B_338/2011 du 24 novembre 2011 c. 4.1) –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ATF 137 IV 285 c. 2.5).</w:t>
      </w:r>
    </w:p>
    <w:p>
      <w:r>
        <w:rPr>
          <w:b/>
        </w:rPr>
        <w:t>E. 3.1</w:t>
      </w:r>
    </w:p>
    <w:p>
      <w:r>
        <w:t>Les recourantes soutiennent que le procureur aurait classé la procé-dure pénale en violation du principe in dubio pro duriore . Elles estiment en substance que le dossier renfermerait suffisamment d’éléments pour justifier la mise en accusation de la prévenue pour homicide par négligence, subsidiairement exposition. Elles ne contestent revanche pas le classement prononcé pour omission de prêter secours.</w:t>
      </w:r>
    </w:p>
    <w:p>
      <w:r>
        <w:rPr>
          <w:b/>
        </w:rPr>
        <w:t>E. 3.2</w:t>
      </w:r>
    </w:p>
    <w:p>
      <w:r>
        <w:t>L'art. 117 CP (Code pénal suisse du 21 décembre 1937; RS 311.0) réprime le comportement de celui qui, par négligence, aura causé la mort d'une personne. Il en résulte que la réalisation de cette infraction suppose la réunion de trois conditions : le décès d’une personne, une négligence et un lien de causalité entre la négligence et la mort (Dupuis et alii, Petit commentaire CP, Bâle 2012, n. 2 ss ad art. 117 CP et les références citées; Corboz, Les infractions en droit suisse, vol. I, 3 e éd., Berne 2010, n. 11 ss ad art. 117 CP et les références citées).</w:t>
      </w:r>
    </w:p>
    <w:p>
      <w:r>
        <w:rPr>
          <w:b/>
        </w:rPr>
        <w:t>E. 3.2.1</w:t>
      </w:r>
    </w:p>
    <w:p>
      <w:r>
        <w:t>Selon l’art. 12 al. 3 CP, agit par négligence quiconque, par une imprévoyance coupable, commet un crime ou un délit sans se rendre compte des conséquences de son acte ou sans en tenir compte. L’imprévoyance est coupable quand l’auteur de l’acte n’a pas usé des précautions commandées par les circons-tances et par sa situation personnelle. La négligence peut résulter aussi bien d’un comportement actif que d’une omission improprement dite, lorsque l’auteur, en situation de garant, reste passif, alors qu’il est tenu d’agir pour protéger le bien juridique, en vertu de la loi, d’un contrat, d’une communauté de risque librement consentie ou de la création d’un risque (Dupuis et al. [éd.], Petit commentaire, Code pénal, Bâle 2012, n. 14 ad art. 117 CP et références citées). Pour qu’il y ait homicide par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 4.2.3; ATF 133 IV 158 c. 5.1; ATF 122 IV 17 c. 2b). Pour déterminer plus précisément quels étaient les devoirs imposés par la prudence, on peut se référer à des normes édictées par l’ordre juridique pour assurer la sécurité et prévenir les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(ATF 133 IV 158 ibid .; ATF 129 IV 119 c. 2.1). En fin de compte, la prudence à laquelle l’auteur est tenu se détermine en fonction des circonstances concrètes et de sa situation personnelle, étant donné que, de par la nature des choses, il est impossible que tout soit régi par des prescriptions (ATF 135 IV 56 c. 2.1, JT 2010 IV 43 et les références citées).</w:t>
      </w:r>
    </w:p>
    <w:p>
      <w:r>
        <w:rPr>
          <w:b/>
        </w:rPr>
        <w:t>E. 3.2.2</w:t>
      </w:r>
    </w:p>
    <w:p>
      <w:r>
        <w:t>Une condamnation pour homicide par négligence suppose l'établisse-ment d'un lien de causalité naturelle et adéquate entre le comportement imputable à l'auteur et le décès de la victime. Une action est l’une des causes naturelles d’un résultat dommageable si, dans l’enchaînement des événements tels qu’ils se sont produits, elle a été, au regard de règles d’expérience ou de lois scientifiques, une condition sine qua non de la survenance de ce résultat. Par ailleurs, une action qui est l’une des causes naturelles d’un résultat dommageable en est aussi une cause adéquate si, d’une part, elle était propre, d’après le cours ordinaire des choses et l’expérience générale de la vie, à entraîner un résultat du genre de celui qui s’est produit et si, d’autre part, elle a effectivement causé le résultat dommageable pour des raisons en rapport avec le but protecteur de la règle de prudence violée, et non pour des raisons fortuites (ATF 133 IV 158 c. 6.1 et les références citées; TF 6B_301/2010 du 30 novembre 2010 c. 2.3.1). Lorsque l’homicide par négligence résulte d’une omission, il faut procéder par hypothèse et se demander si l’accomplissement de l’acte omis aurait, selon le cours ordinaire des choses et l’expérience de la vie, évité, avec un haut degré de vraisemblance,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 4.4.1; ATF 133 1V 158, ibid .; Dupuis et alii, op. cit., n. 12 ad art. 117 CP et les références citées; Corboz, op. cit., n. 51 ad art. 117 CP).</w:t>
      </w:r>
    </w:p>
    <w:p>
      <w:r>
        <w:rPr>
          <w:b/>
        </w:rPr>
        <w:t>E. 3.2.3</w:t>
      </w:r>
    </w:p>
    <w:p>
      <w:r>
        <w:t>En l’espèce, le procureur a considéré, s’agissant de l’homicide par négligence, qu’il était définitivement impossible d’établir l’existence d’un lien de causalité entre le comportement éventuellement imputable à la prévenue et le résultat survenu. Ce point de vue doit être confirmé. Il ressort en effet des divers rapports versés au dossier, plus particulièrement du rapport d’autopsie du</w:t>
      </w:r>
    </w:p>
    <w:p>
      <w:r>
        <w:rPr>
          <w:b/>
        </w:rPr>
        <w:t>E. 3.3.1</w:t>
      </w:r>
    </w:p>
    <w:p>
      <w:r>
        <w:t>Selon l'art. 127 CP, se rend coupable d'exposition celui qui, ayant la garde d'une personne hors d'état de se protéger elle-même ou le devoir de veiller sur elle, l'aura exposée à un danger de mort ou à un danger grave et imminent pour la santé, ou l'aura abandonnée en un tel danger. L’infraction d’exposition suppose une intention (Dupuis et alii, op. cit., n. 14 ad 127 CP et les références citées).</w:t>
      </w:r>
    </w:p>
    <w:p>
      <w:r>
        <w:rPr>
          <w:b/>
        </w:rPr>
        <w:t>E. 3.3.2</w:t>
      </w:r>
    </w:p>
    <w:p>
      <w:r>
        <w:t>En l’espèce, il ne ressort pas du dossier que la prévenue se serait abstenue d’agir après avoir constaté que la victime était en difficulté. On ne saurait en outre considérer, comme semblent soutenir les recourantes, que toute personne nageant dans une piscine est exposée à un danger de mort ou un danger grave et imminent pour la santé. Le classement prononcé pour l’infraction d’exposition est dès lors également justifié. 4. Au vu des considérants qui précèdent, le recours doit être rejeté sans autre échange d’écritures (art. 390 al. 2 CPP) et l’ordonnance attaquée confirmée. Les frais de la procédure de recours, constitués en l'espèce uniquement de l’émolument d’arrêt (art. 422 al. 1 CPP), par 880 fr. (art. 20 al. 1 TFIP [Tarif des frais de procédure et indemnités en matière pénale du 28 septembre 2010; RSV 312.03.1]), seront mis à la charge des recourantes, qui succombent (art. 428 al. 1 CPP), par moitié chacune, solidairement entre elles (art. 418 al. 1 et 2 CPP). Par ces motifs, la Chambre des recours pénale prononce : I. Le recours est rejeté. II. L’ordonnance du 8 juillet 2015 est confirmée. III. Les frais d’arrêt, par 880 fr. (huit cent huitante francs), sont mis à la charge d’A.F.________ et B.F.________, par moitié chacune, solidairement entre elles. IV. Le présent arrêt est exécutoire. Le président :               La greffière : Du Le présent arrêt, dont la rédaction a été approuvée à huis clos, est notifié, par l'envoi d'une copie complète, à : - Mme Cornelia Seeger Tappy, avocate (pour A.F.________ et B.F.________), - Mme Véronique Fontana, avocate (pour B.F.________), - M. François Gillard, avocat (pour Z.________), - Ministère public central, et communiqué à : - Ville de Nyon, Office des affaires juridiques,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novembre 2009 (P. 26) et du rapport d’expertise du 19 juin 2012 (P. 120), que le défunt présentait, malgré son jeune âge, plusieurs facteurs de risque cardio-vasculaire, dont un tabagisme important et une atteinte coronarienne tritronculaire avec une dissection intimale de la coronaire droite et un thrombus local (P. 120, p. 14; P. 26, p. 23). Selon les experts, les données des investigations post-mortem suggèrent avec une très forte vraisemblance l’hypothèse d’un malaise d’origine cardiaque comme pouvant être à l’origine de troubles du rythme cardiaque et, secondairement, une perte de connaissance et de la noyade (P. 120, pp. 11 et 12; P. 26, p. 23). Entendu par le procureur, le Dr [...] a précisé ne pas être en mesure de dire si le défunt aurait pu être sauvé s’il avait été sorti rapidement de l’eau et réanimé (PV aud. 7, ligne 107). Un complément d’expertise déposée le 22 avril 2015 confirme qu’il n’est pas possible de se prononcer quant à la question de savoir si l’intervention rapide des secours aurait permis de sauver la vie de la victime ou non (P. 159, p. 2). En d’autres termes, il est à ce stade certain que l’existence d’un lien de causalité ne peut pas être établi. Ce seul constat suffit à pratiquement exclure toute perspective de condamnation. Le classement pour homicide par négligence était ainsi justifié.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