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71 vom 19. Februar 2015</w:t>
      </w:r>
    </w:p>
    <w:p>
      <w:r>
        <w:t>VD Tribunal cantonal, 2015-02-19, FR</w:t>
      </w:r>
    </w:p>
    <w:p>
      <w:r>
        <w:rPr>
          <w:b/>
        </w:rPr>
        <w:t xml:space="preserve">Quelle: </w:t>
      </w:r>
      <w:r>
        <w:t>https://mcp.opencaselaw.ch/entscheid/vd_findinfo_D_cision___2015___71</w:t>
      </w:r>
    </w:p>
    <w:p>
      <w:r>
        <w:t>FR: VD_FINDINFO Décision / 2015 / 71 du 19 février 2015</w:t>
      </w:r>
    </w:p>
    <w:p>
      <w:r>
        <w:t>IT: VD_FINDINFO Décision / 2015 / 71 del 19 febbraio 2015</w:t>
      </w:r>
    </w:p>
    <w:p>
      <w:pPr>
        <w:pStyle w:val="Heading2"/>
      </w:pPr>
      <w:r>
        <w:t>Regeste</w:t>
      </w:r>
    </w:p>
    <w:p>
      <w:r>
        <w:t>ORDONNANCE DE SÉQUESTRE, CONFISCATION{DROIT PÉNAL}, PROPORTIONNALITÉ, ADMISSION DE LA DEMANDE | 70 CP, 197 al. 1 let. c CPP (CH), 263 al. 1 let. d CPP (CH), 393 al. 1 let. a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2013, n. 24 ad art. 63 CPP ; Lembo/Julen Berthod, in : Kuhn/Jeanneret [éd.], Commentaire romand, Code de procédure pénale suisse, Bâle 2011, n. 4 ad art. 267 CPP ; CREP 20 janvier 2015/55 ; CREP 16 janvier 2015/32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(Calame, in : Kuhn/Jeanneret [éd.], op. cit., n. 2 ad art. 382 CPP ; Lieber, in : Donatsch/ Hansjakob/Lieber [éd.], Kommentar zum Schweizerischen Strafprozessordnung, 2 e éd., Zurich 2014, n. 7 ad art. 382 CPP ; Schmid, Schweizerische Strafprozess-ordnung, Praxiskommentar,</w:t>
      </w:r>
    </w:p>
    <w:p>
      <w:r>
        <w:rPr>
          <w:b/>
        </w:rPr>
        <w:t>E. 1.3</w:t>
      </w:r>
    </w:p>
    <w:p>
      <w:r>
        <w:t>En l’espèce, D.________ n’est pas juridiquement propriétaire du bien-fonds [...] séquestré, mais uniquement propriétaire économique ; c’est la société K.________SA qui est propriétaire. Ainsi, le recourant ne dispose pas d'un intérêt juridiquement protégé au sens de l'art. 382 al. 1 CPP. Au demeurant, son statut de prévenu ne change rien à ce constat, l'exigence d'un intérêt juridique s'appliquant à toutes les parties à la procédure, à l'exception du Ministère public (cf. TF 1B_94/2012 du 2 avril 2012 précité c. 2). Le recours de D.________ doit donc être déclaré irrecevable. En revanche, le recours de la société K.________SA, qui a qualité pour recourir (art. 382 al. 1 CPP) en tant qu’ayant droit des biens objets du séquestre, a été interjeté dans le délai légal auprès de l’autorité compétente et dans les formes prescrites (cf. art. 385 al. 1 CPP), de sorte qu’il y a lieu d’entrer en matière.</w:t>
      </w:r>
    </w:p>
    <w:p>
      <w:r>
        <w:rPr>
          <w:b/>
        </w:rPr>
        <w:t>E. 2</w:t>
      </w:r>
    </w:p>
    <w:p>
      <w:r>
        <w:t>La recourante conteste le bien-fondé du séquestre. Elle soutient que les fonds qui ont permis l’acquisition du terrain objet de cette mesure ne seraient en rien le produit d’une infraction et qu’il n’y aurait de ce fait aucun lien avec l’argent investi par les plaignants, lequel avait servi à financer des projets d’architecture.</w:t>
      </w:r>
    </w:p>
    <w:p>
      <w:r>
        <w:rPr>
          <w:b/>
        </w:rPr>
        <w:t>E. 2.1</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 RS 311.0]), de leur origine ou de leur utilisation criminelle (art. 70 et 72 CP) pour autant que l'on puisse admettre, prima facie , qu'ils pourront être confisqués en application du droit fédéral (Lembo/Julen Berthod, in : Kuhn/Jeanneret [éd.], op. cit., n. 7 ad art. 263 CPP). L'art. 70 al. 1 CP autorise le juge à confisquer des valeurs patrimoniales qui sont le résultat d’une infraction ou qui étaient destinées à décider ou à récompenser l’auteur d’une infraction, si elles ne doivent pas être restituées au lésé en rétablissement de ses droits. La confiscation des valeurs patrimoniales a un caractère répressif ; inspirée de l'adage selon lequel "le crime ne paie pas", elle tend à empêcher l’auteur de profiter du produit de l’infraction (ATF 106 IV 336 c.3b/aa, JT 1982 IV 102).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En revanche, les valeurs ne peuvent pas être considérées comme le résultat de l'infraction lorsque celle-ci n'a que facilité leur obtention ultérieure par un acte subséquent sans lien de connexité immédiate avec elle (ATF 140 IV 57 c. 4.1.1 ; ATF 129 II 453 c. 4.1 ; TF 1B_185/2007 du 30 novembre 2007 c. 9).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art. 71 al. 1 CP ).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(ATF 140 IV 57 c. 4.1.2 et les références citées). Néanmoins, un lien de connexité entre les valeurs saisies et l'infraction commise n'est pas requis (ATF 133 IV 215 c. 2.1.1). La mesure vise l’auteur, mais peut aussi viser le patrimoine d’un tiers, favorisé d’une manière ou d’une autre par l’infraction (TF 1B_213/2013 du 27 septembre 2013 c. 4.1 ; TF 1B_583/2012 du 31 janvier 2013 c. 2.1 et les références citées).</w:t>
      </w:r>
    </w:p>
    <w:p>
      <w:r>
        <w:rPr>
          <w:b/>
        </w:rPr>
        <w:t>E. 2.2</w:t>
      </w:r>
    </w:p>
    <w:p>
      <w:r>
        <w:t>Le séquestre pénal est donc une mesure provisoire fondée sur la vraisemblance ; tant que l'instruction n'est pas achevée, une simple probabilité suffit (cf. Moreillon/Parein-Reymond, op. cit, n. 20 ad art. 263 CPP) car, à l'instar de toute mesure provisionnelle, la saisie se rapporte à des prétentions encore incertaines (ATF 139 IV 250 c. 2.1 ; ATF 137 IV 145 c. 6.4 et les références citées ; TF 1B_127/2013 du 1 er mai 2013 c. 2). L'autorité doit pouvoir décider rapidement du séquestre provisoire (cf. art. 263 al. 2 CPP), ce qui exclut qu'elle résolve des questions juridiques complexes ou qu'elle attende d'être renseignée de manière exacte et complète sur les faits avant d'agir (ATF 116 Ib 96 c. 3a). Ainsi, la réalisation des conditions du séquestre doit être régulièrement vérifiée par l'autorité compétente, avec une plus grande rigueur à mesure que l'enquête progresse (ATF 122 IV 91 c. 4).</w:t>
      </w:r>
    </w:p>
    <w:p>
      <w:r>
        <w:rPr>
          <w:b/>
        </w:rPr>
        <w:t>E. 2.3</w:t>
      </w:r>
    </w:p>
    <w:p>
      <w:r>
        <w:t>Enfin, conformément à l'art. 197 al. 1 CPP,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la proportionnalité, il faut qu'il soit apte à produire les résultats escomptés (règle de l’aptitude), ces derniers ne pouvant pas être atteints par une mesure moins incisive (règle de la nécessité) (CREP 18 octobre 2013/647 c. 3a et les références citées)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(Lembo/Julen Berthod, in : Kuhn/Jeanneret [éd.], op. cit., n. 23 ad art. 263 CPP ; Bommer/Goldschmid, in : Niggli/Heer/Wiprächtiger [éd.], Basler Kommentar, Schweizerische Strafprozess-ordnung, Jugendstrafprozessordnung, 2 e éd., Bâle 2014, n. 23 ad art. 263 CPP).</w:t>
      </w:r>
    </w:p>
    <w:p>
      <w:r>
        <w:rPr>
          <w:b/>
        </w:rPr>
        <w:t>E. 2.4.1</w:t>
      </w:r>
    </w:p>
    <w:p>
      <w:r>
        <w:t>En l’espèce, le séquestre se fonde sur l’art. 263 al. 1 let. d CPP. A l’appui de son ordonnance, le Procureur a considéré qu’à ce stade de l’enquête, il subsistait une vraisemblance suffisante selon laquelle le bien-fonds propriété de la société K.________SA, dont le prévenu était l’administrateur avec signature individuelle, pourrait être d’origine délictueuse. Si des investigations devaient certes encore être menées afin de déterminer l’utilisation faite par le prévenu des sommes investies par les plaignants, il existait néanmoins des soupçons sérieux de la commission d’une infraction pénale par D.________, qu’il s’agisse d’abus de confiance (art. 138 CP) ou d’escroquerie (art. 146 CP). Ces soupçons étaient d’ailleurs renforcés par les faillites successives des sociétés appartenant ou ayant appartenu au prévenu, ainsi que par le fait que celui-ci faisait l’objet de deux autres enquêtes pénales pour des faits similaires à ceux de la présente affaire, précisément en lien avec des investissements dans des projets immobiliers impliquant ses diverses sociétés.</w:t>
      </w:r>
    </w:p>
    <w:p>
      <w:r>
        <w:rPr>
          <w:b/>
        </w:rPr>
        <w:t>E. 2.4.2</w:t>
      </w:r>
    </w:p>
    <w:p>
      <w:r>
        <w:t>A cet égard, on relèvera en premier lieu que la recourante fait, de prime abord, la démonstration que le bien-fonds séquestré n’a pas été acquis avec les montants investis par les plaignants, mais au moyen de fonds provenant de la vente d’autres immeubles ; les époux Y.________ auraient en particulier investi des fonds entre août 2009 et décembre 2011 en vue de financer des projets d’architecture alors que les fonds qui avaient permis l’achat de l’immeuble frappé du séquestre avaient été reçus le 25 juin 2013 après un investissement antérieur datant du 20 mars 2008, qui ne présente aucun lien avec l’argent des plaignants. Il ressort en outre des déterminations des plaignants que le raisonnement de la recourante n’est pas vraiment contesté. Ceux-ci se bornent en effet à affirmer d’une part que les données fournies à l’appui du recours constituent des éléments superficiels et extrêmement lacunaires et d’autre part qu’en raison du fait que D.________ jonglait entre ses sociétés, il serait vraisemblable que leur argent se trouve dans la société K.________SA, et plus particulièrement dans les parcelles séquestrées. Or les éléments généraux du dossier ne permettent pas de retenir avec une vraisemblance suffisante que les fonds ayant servi à l’achat du bien-fonds « [...] » seraient d’origine délictueuse. Dans ces circonstances, l’existence d’un lien de connexité exigé par l’art. 263 al. 1 let. d CPP fait défaut, de sorte qu’un séquestre en vue d’une confiscation n’est pas justifié. Ensuite, il faut relever que par courrier du 17 février 2015, les plaignants ont déclaré accepter la levée du séquestre ordonné le 16 décembre 2014 à la suite de leur réquisition (cf. P. 4), considérant qu’il n’y avait pas lieu de générer une situation qui risquait de péjorer ou compromettre la réparation des dommages causés. Ils ont produit à ce titre la convention conclue avec D.________ et K.________SA, le 16 février 2015. Ces éléments constituent des faits et des conclusions nouveaux, dont il convient de tenir compte dans l’examen du bien-fondé du séquestre (cf. art. 389 al. 3 CPP), étant encore relevé que la Cour de céans n'est liée ni par les motifs invoqués par les parties ni par leurs conclusions (art. 391 al. 1 let. a CPP). En l’occurrence, compte tenu de la teneur de la convention, laquelle prévoit notamment à son chiffre V que le projet de construction des parcelles [...] doit permettre en priorité un complet désintéressement des plaignants (cf. P. 29), il apparaît qu’un séquestre, en particulier en vue de garantir l’exécution d’une créance compensatrice, n’est pas la mesure la moins incisive et la plus apte à produire les résultats escomptés. On ne saurait en tous les cas admettre qu’une telle mesure se justifie eu égard au principe de la proportionnalité. Il résulte dès lors de ce qui précède qu’il y a lieu d’annuler l’ordonnance prononçant le séquestre sur le bien-fonds [...], propriété de la société K.________SA, par le Ministère public de l’arrondissement de Lausanne.</w:t>
      </w:r>
    </w:p>
    <w:p>
      <w:r>
        <w:rPr>
          <w:b/>
        </w:rPr>
        <w:t>E. 3</w:t>
      </w:r>
    </w:p>
    <w:p>
      <w:r>
        <w:t>En définitive, le recours de K.________SA doit être admis et l’ordonnance du 16 décembre 2014 annulée, tandis que le recours de D.________ doit être déclaré irrecevable. Les frais de la procédure de recours, constitués en l’espèce de l'émolument d'arrêt (art. 422 al. 1 CPP), par 1'210 fr. (art. 20 al. 1 TFIP [tarif des frais de procédure et indemnités en matière pénale du 28 septembre 2010 ; RSV 312.03.1]), seront mis par moitié, soit par 605 fr., à la charge de D.________, qui succombe (art. 428 al. 1 CPP), le solde étant laissé à la charge de l'Etat (art. 423 al. 1 CPP). S’agissant des dépens réclamés par la recourante, il appartiendra le cas échéant à cette dernière d’adresser à la fin de la procédure – pour autant que les conditions d’une indemnité selon l’art. 434 al. 1 CPP soient alors remplies – ses prétentions à l’autorité pénale compétente selon l’art. 434 al. 2 CPP (CREP 21 mars 2013/155 et les références citées) ; il y a toutefois lieu d'attirer l'attention de cette autorité sur le fait qu'en tant que ces dépens concerneraient la présente procédure de recours, la recourante a déclaré y renoncer (cf. P. 29). Par ces motifs, la Chambre des recours pénale prononce : I. Le recours de D.________ est irrecevable. II. Le recours de K.________SA est admis. III. L’ordonnance du 16 décembre 2014 est annulée. IV. Les frais d’arrêt, par 1'210 fr. (mille deux cent dix francs), sont mis par moitié, soit par 605 fr. (six cent cinq francs), à la charge de D.________, le solde étant laissé à la charge de l’Etat. V. Le présent arrêt est exécutoire. Le président : La greffière : Du Le présent arrêt, dont la rédaction a été approuvée à huis clos, est notifié, par l'envoi d'une copie complète, à : - M. Eric Muster, avocat (pour D.________ et K.________SA), - M. Gilles Monnier, avocat (pour Y.________), - Ministère public central ; et communiqué à : - M. le Procureur de l’arrondissement de Lausanne, - Registre foncier de la Sarine,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