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709 vom 24. September 2015</w:t>
      </w:r>
    </w:p>
    <w:p>
      <w:r>
        <w:t>VD Tribunal cantonal, 2015-09-24, FR</w:t>
      </w:r>
    </w:p>
    <w:p>
      <w:r>
        <w:rPr>
          <w:b/>
        </w:rPr>
        <w:t xml:space="preserve">Quelle: </w:t>
      </w:r>
      <w:r>
        <w:t>https://mcp.opencaselaw.ch/entscheid/vd_findinfo_D_cision___2015___709</w:t>
      </w:r>
    </w:p>
    <w:p>
      <w:r>
        <w:t>FR: VD_FINDINFO Décision / 2015 / 709 du 24 septembre 2015</w:t>
      </w:r>
    </w:p>
    <w:p>
      <w:r>
        <w:t>IT: VD_FINDINFO Décision / 2015 / 709 del 24 settembre 2015</w:t>
      </w:r>
    </w:p>
    <w:p>
      <w:pPr>
        <w:pStyle w:val="Heading2"/>
      </w:pPr>
      <w:r>
        <w:t>Regeste</w:t>
      </w:r>
    </w:p>
    <w:p>
      <w:r>
        <w:t>RISQUE DE FUITE, BRACELET ÉLECTRONIQUE, PAPIER DE LÉGITIMATION | 221 al. 1 let. a CPP (CH), 222 CPP (CH), 229 CPP (CH), 237 CPP (CH), 369 al. 3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en italien: « sono eccettuate le decisioni ordinatorie »).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 4.3.1 pp. 195 s.). Selon la jurisprudence, ces décisions peuvent toutefois faire l’objet d’un recours selon le CPP lorsqu’elles sont susceptibles de causer un préjudice irréparable (ATF 140 IV 202 c. 2.1 in fine p. 205, JT 2015 I 73, CREP 12 août 2015/535 c. 1). Constitue un préjudice irréparable un dommage de nature juridique qui ne puisse pas être réparé ultérieurement par un jugement final ou une autre décision favorable au recourant (TF_6B 805/2014 du 20 octobre 2014; ATF 137 IV 172 c. 2.1 ; CREP 9 juin 2015/383 c. 1.1).</w:t>
      </w:r>
    </w:p>
    <w:p>
      <w:r>
        <w:rPr>
          <w:b/>
        </w:rPr>
        <w:t>E. 1.2</w:t>
      </w:r>
    </w:p>
    <w:p>
      <w:r>
        <w:t>En l’espèce, l’ordonnance entreprise a été rendue par la Présidente du Tribunal correctionnel de l’arrondissement de Lausanne en sa qualité de direction de la procédure en application de l’art. 369 al.</w:t>
      </w:r>
    </w:p>
    <w:p>
      <w:r>
        <w:rPr>
          <w:b/>
        </w:rPr>
        <w:t>E. 3</w:t>
      </w:r>
    </w:p>
    <w:p>
      <w:r>
        <w:t>CPP rejetant la demande de mise en liberté du recourant, elle a pour conséquence son maintien en détention et est susceptible de lui causer un préjudice irréparable. Elle peut donc faire l’objet d’un recours immédiat auprès de l’autorité de recours (Summers, in : Donatsch/Hansjakob/Lieber, Kommentar zur Schweizerischen Strafprozessordnung, 2 e éd. 2014, n. 12 ad art. 369 CPP ; Hug/Scheidegger, in : Donatsch/Hansjakob/Lieber, op. cit., n. 4 ad art. 22 CPP). Il y a dès lors lieu d’entrer en matière sur le recours, qui a été interjeté en temps utile devant l’autorité compétente (cf. art. 13 LVCPP [loi d’introduction du code de procédure pénale suisse, RSV 312.01]; art. 80 LOJV [loi d’organisation judiciaire, RSV 173.01]) et satisfait aux conditions de forme posées par l’art. 385 al. 1 CPP.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 respectivement pour des motifs de sûreté –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2.2 S’agissant des soupçons pesant sur le prévenu, il y a lieu de relever qu’il est notamment reproché au prévenu d’avoir tenu les poignets de la victime pour tenter de la pénétrer, de lui avoir palpé la poitrine, de l’avoir enfermée à clé dans la salle de bain avec lui et de lui avoir assené plusieurs claques. Le prévenu aurait fini par la laisser sortir, celle-ci ayant brisé le carreau de la porte de la salle de bain dans le but d’alerter le voisinage. Il ressort des rapports de police des 19 avril et 23 septembre 2010 (P. 11 et 14) que des agents sont intervenus au domicile de la victime sur requête des habitants qui entendaient des cris appelant au secours (PV aud. 6). Arrivée sur place, la police a effectivement constaté que la victime hurlait dans son logis. Le prévenu a été trouvé dans l’appartement totalement nu et la victime ne portait aucun vêtement sur la partie supérieure du corps. Interrogée, cette dernière a mis en cause le prévenu pour les faits précédemment décrits. Au vu de ce qui précède, il y a lieu de retenir qu’il existe une présomption suffisamment sérieuse de culpabilité à l’encontre T.________. L’existence de soupçons suffisants n’est du reste pas contestée par le prévenu.</w:t>
      </w:r>
    </w:p>
    <w:p>
      <w:r>
        <w:rPr>
          <w:b/>
        </w:rPr>
        <w:t>E. 3.1</w:t>
      </w:r>
    </w:p>
    <w:p>
      <w:r>
        <w:t>Le recourant conteste en revanche l’existence d’un risque de fuite, tel qu’admis par le premier juge. Il fait valoir qu’il est au bénéfice d’une autorisation de séjour en Suisse, pays dans lequel il vit avec son épouse et les deux enfants de celle-ci, à une adresse connue des autorités. Il ajoute qu’il s’est présenté spontanément aux autorités lorsqu’il a été convoqué à la fin du mois de juillet 2015 et qu’il n’a aucune intention de fuir dès lors que ses centres d’intérêts se trouvent à Genève, et cela même s’il a de la famille au Maroc et en France.</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w:t>
      </w:r>
    </w:p>
    <w:p>
      <w:r>
        <w:rPr>
          <w:b/>
        </w:rPr>
        <w:t>E. 3.3</w:t>
      </w:r>
    </w:p>
    <w:p>
      <w:r>
        <w:t>En l’espèce, il ressort du dossier que le recourant n’a plus donné signe de vie à son précédent avocat dès avant le délai de prochaine clôture (P. 16). Il ne s’est d’ailleurs pas présenté aux deux audiences qui ont précédé le jugement par défaut du 8 septembre 2011. Il a ainsi concrètement démontré sa volonté de se soustraire à la justice. Il soutient aujourd’hui s’appeler P.________, né le [...] 1984 au Maroc, être marié et vivre auprès de sa femme à Versoix. Le recourant avait pourtant contesté être cette personne lors de son audition par la police du 13 avril 2010 (PV aud. 5, R. 8). En outre, les documents produits ne démontrent pas que le recourant soit bien P.________. En tout état de cause, l’adresse actuellement mentionnée par le recourant est la même que celle qu’utilisait son avocat à l’époque et qui n’avait pas permis de le joindre. Dans ces circonstances, il est fortement à craindre, au vu de la peine qu’il encourrait en cas de condamnation, que T.________ cherche à nouveau à se soustraire aux poursuites engagées contre lui en disparaissant dans la clandestinité. Par conséquent, le risque de fuite est concret.</w:t>
      </w:r>
    </w:p>
    <w:p>
      <w:r>
        <w:rPr>
          <w:b/>
        </w:rPr>
        <w:t>E. 4.1</w:t>
      </w:r>
    </w:p>
    <w:p>
      <w:r>
        <w:t>Le recourant soulève qu’il serait disposé à se soumettre à toutes mesures de substitution qui seraient ordonnées par l’autorité compétente et propose que de telles mesures soient mises en place sous la forme du dépôt de son passeport, d’une obligation de se présenter une fois par semaine auprès des autorités et du port d’un bracelet électronique.</w:t>
      </w:r>
    </w:p>
    <w:p>
      <w:r>
        <w:rPr>
          <w:b/>
        </w:rPr>
        <w:t>E. 4.2</w:t>
      </w:r>
    </w:p>
    <w:p>
      <w:r>
        <w:t>Conformément au principe de la proportionnalité (cf. art. 36 al. 3 Cst. [Constitution fédérale de la Confédération suisse du 18 avril 1999 ; RS 101] ; pour la procédure pénale, cf. art. 197 al. 1 let. c CPP), il convient d'examiner les possibilités de mettre en oeuvre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4.3</w:t>
      </w:r>
    </w:p>
    <w:p>
      <w:r>
        <w:t>En l’espèce, le risque de fuite ne peut pas être pallié par le dépôt des pièces d'identité. En effet, conformément à la jurisprudence du Tribunal fédéral, cette mesure ne peut pas empêcher l'intéressé de passer la frontière, au vu du peu de difficulté à quitter la Suisse sans papiers (TF 1B_423/2010 du 17 janvier 2011 c. 5.2 ; TF 1B_72/2007 du 16 mai 2007 c. 4.4). Quant à une éventuelle obligation de se présenter régulièrement auprès d’une autorité, elle n'est pas non plus de nature à empêcher une personne dans la situation du recourant de s'enfuir à l'étranger, mais permet uniquement de constater la fuite, quelques jours après sa survenance. Par ailleurs,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(TF 1B_447/2011 du 21 septembre 2011 c.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oeuvre. Enfin, on ne voit pas quelle autre mesure de substitution pourrait atteindre le même but que la détention. Par conséquent, aucune mesure de substitution au sens de l’art. 237 CPP ne peut être prononcée en l’espèce en lieu et place de la détention pour des motifs de sûreté.</w:t>
      </w:r>
    </w:p>
    <w:p>
      <w:r>
        <w:rPr>
          <w:b/>
        </w:rPr>
        <w:t>E. 5.1</w:t>
      </w:r>
    </w:p>
    <w:p>
      <w:r>
        <w:t>La proportionnalité de la détention provisoire ou pour des motifs de sûreté (art. 212 al. 3 CPP) doit être examinée au regard de l’ensemble des circonstances concrètes du cas d’espèce (ATF 133 I 168 c. 4.1 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5.2</w:t>
      </w:r>
    </w:p>
    <w:p>
      <w:r>
        <w:t>En l’espèce, T.________ est détenu depuis le 29 juillet 2015, détention à laquelle il faut rajouter les trente-trois jours de détention avant jugement retenus dans le jugement du</w:t>
      </w:r>
    </w:p>
    <w:p>
      <w:r>
        <w:rPr>
          <w:b/>
        </w:rPr>
        <w:t>E. 8</w:t>
      </w:r>
    </w:p>
    <w:p>
      <w:r>
        <w:t>septembre 2011. Le prévenu est renvoyé devant le Tribunal correctionnel de l’arrondissement de Lausanne pour voies de fait, séquestration et enlèvement, violation de domicile, tentative de viol, désagréments causés par la confrontation à un acte d’ordre sexuel et infraction à la loi fédérale sur les étrangers. Compte tenu de la gravité des charges qui pèsent contre lui, le recourant s’expose à une peine privative de liberté d’une durée encore supérieure à celle de la détention avant jugement subie à ce jour, respectivement à subir jusqu’à l'audience de jugement qui a été agendée aux 8 et 9 décembre 2015. Au vu de ces éléments, le principe de la proportionnalité de la détention pour des motifs de sûreté demeure respecté. 6. Il résulte de ce qui précède que le recours, manifestement mal fondé, doit être rejeté sans autres échanges d’écritures (art. 390 al. 2 CPP). Les frais de la procédure de recours, constitués en l’espèce de l’émolument d'arrêt, par 990 fr. (art. 20 al. 1 [tarif des frais judiciaires de procédure et indemnités en matière pénale du 28 septembre 2010; RSV 312.03.1]), et des frais imputables à la défense d’office (art. 422 al. 1 et 2 let. a CPP), fixés à 450 fr., plus la TVA par 36 fr., soit un total de 486 fr., seront mis à la charge de T.________,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septembre 2015 est confirmée. III. L'indemnité allouée au défenseur d'office de T.________ est fixée à 486 fr. (quatre cent huitante-six francs). IV. Les frais du présent arrêt, par 990 fr. (huit cent huitante francs), ainsi que l’indemnité due au défenseur d’office de T.________, par 486 fr. (quatre cent huitante-six francs), sont mis à la charge de ce dernier. V. Le remboursement à l'Etat de l'indemnité allouée au chiffre IV ci-dessus sera exigible pour autant que la situation économique de T.________ se soit améliorée. VI. Le présent arrêt est exécutoire. Le président :               La greffière : Du Le présent arrêt, dont la rédaction a été approuvée à huis clos, est notifié, par l'envoi d'une copie complète, à : - M. Perroud, avocat pour (T.________), - Ministère public central, et communiqué à : - Mme la Présidente du Tribunal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