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708 vom 16. September 2015</w:t>
      </w:r>
    </w:p>
    <w:p>
      <w:r>
        <w:t>VD Tribunal cantonal, 2015-09-16, FR</w:t>
      </w:r>
    </w:p>
    <w:p>
      <w:r>
        <w:rPr>
          <w:b/>
        </w:rPr>
        <w:t xml:space="preserve">Quelle: </w:t>
      </w:r>
      <w:r>
        <w:t>https://mcp.opencaselaw.ch/entscheid/vd_findinfo_D_cision___2015___708</w:t>
      </w:r>
    </w:p>
    <w:p>
      <w:r>
        <w:t>FR: VD_FINDINFO Décision / 2015 / 708 du 16 septembre 2015</w:t>
      </w:r>
    </w:p>
    <w:p>
      <w:r>
        <w:t>IT: VD_FINDINFO Décision / 2015 / 708 del 16 settembre 2015</w:t>
      </w:r>
    </w:p>
    <w:p>
      <w:pPr>
        <w:pStyle w:val="Heading2"/>
      </w:pPr>
      <w:r>
        <w:t>Regeste</w:t>
      </w:r>
    </w:p>
    <w:p>
      <w:r>
        <w:t>INSOUMISSION À UNE DÉCISION DE L'AUTORITÉ, DROIT DE GARDE | 292 CP,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dans le délai légal auprès de l’autorité compétente par le plaignant qui a qualité pour recourir (art. 382 al. 1 CPP), le recours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w:t>
      </w:r>
    </w:p>
    <w:p>
      <w:r>
        <w:rPr>
          <w:b/>
        </w:rPr>
        <w:t>E. 2.2</w:t>
      </w:r>
    </w:p>
    <w:p>
      <w:r>
        <w:t>En vertu de l’art. 292 CP, celui qui ne se sera pas conformé à une décision lui ayant été signifiée sous la menace de la peine prévue au présent article, par une autorité ou un fonctionnaire compétents, sera puni d’une peine d’amende. Le comportement punissable consiste, pour le destinataire de la décision, à ne pas se conformer à la décision de l’autorité (Dupuis et alii, Petit commentaire du Code pénal, Bâle 2012, n. 20 ad art. 292 CP). L'art. 292 CP, qui est classé parmi les infractions contre l'autorité publique, vise en premier lieu à sauvegarder les fondements juridiques de l'injonction faite par l'autorité (TF 6B_1157/2014 du 19 janvier 2015 c. 2.1). Indirectement, toutefois, la disposition protège aussi les intérêts publics ou privés pour la protection desquels l’injonction a été faite, de sorte qu’il faut aussi considérer comme lésé celui dont les intérêts privés ont été effectivement touchés par l’acte en cause (TF 1P. 600/2006 du 1 er décembre 2006 c. 3.2 ; BSK, n. 16 ad art. 292 CP cf. cependant TF 1B_196/2012 du 2 juillet 2012 c. 1.3 où la question est laissée indécise).</w:t>
      </w:r>
    </w:p>
    <w:p>
      <w:r>
        <w:rPr>
          <w:b/>
        </w:rPr>
        <w:t>E. 2.3</w:t>
      </w:r>
    </w:p>
    <w:p>
      <w:r>
        <w:t>En l’espèce, il ressort clairement du dossier que depuis l’ordonnance de mesures provisionnelles du 26 septembre 2014, B.S.________ s’est présentée avec son enfant à sept reprises sur les huit agendées au Point Rencontre et a décidé de repartir avec lui sans que l’entretien entre l’adolescent et A.S.________ puisse avoir lieu (P. 9/2). Force est de constater, comme le relève à juste titre le recourant, que c’est bien B.S.________ qui paraît continuer à faire obstacle aux entretiens entre le père et son fils et qu’il y a dès lors matière à ouvrir une instruction pour insoumission à une décision de l’autorité (art. 292 CP).</w:t>
      </w:r>
    </w:p>
    <w:p>
      <w:r>
        <w:rPr>
          <w:b/>
        </w:rPr>
        <w:t>E. 3</w:t>
      </w:r>
    </w:p>
    <w:p>
      <w:r>
        <w:t>Au vu de ce qui précède, le recours de A.S.________ doit être admis, l’ordonnance attaquée annulée et le dossier de la cause renvoyé au Ministère public de Lausanne pour qu’il procède dans le sens des considérants. Les frais de la procédure de recours, constitués en l’espèce du seul émolument d'arrêt, par 550 fr. (art. 20 al. 1 [tarif des frais judiciaires de procédure et indemnités en matière pénale du 28 septembre 2010; RSV 312.03.1]), seront laissés à la charge de l’Etat. Par ces motifs, la Chambre des recours pénale prononce : I. Le recours est admis. II. L’ordonnance de non-entrée en matière du 26 juin 2015 est annulée. III. Le dossier de la cause est renvoyé au Ministère public de l’arrondissement de Lausanne pour qu’il procède dans le sens des considérants. IV. Les frais d’arrêt, par 550 fr., sont laissés à la charge de l’Etat. V. Le présent arrêt est exécutoire. Le président :               La greffière : Du Le présent arrêt, dont la rédaction a été approuvée à huis clos, est notifié, par l'envoi d'une copie complète, à : - Mme Mireille Loroch, avocate (pour A.S.________),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