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705 vom 18. September 2015</w:t>
      </w:r>
    </w:p>
    <w:p>
      <w:r>
        <w:t>VD Tribunal cantonal, 2015-09-18, FR</w:t>
      </w:r>
    </w:p>
    <w:p>
      <w:r>
        <w:rPr>
          <w:b/>
        </w:rPr>
        <w:t xml:space="preserve">Quelle: </w:t>
      </w:r>
      <w:r>
        <w:t>https://mcp.opencaselaw.ch/entscheid/vd_findinfo_D_cision___2015___705</w:t>
      </w:r>
    </w:p>
    <w:p>
      <w:r>
        <w:t>FR: VD_FINDINFO Décision / 2015 / 705 du 18 septembre 2015</w:t>
      </w:r>
    </w:p>
    <w:p>
      <w:r>
        <w:t>IT: VD_FINDINFO Décision / 2015 / 705 del 18 settembre 2015</w:t>
      </w:r>
    </w:p>
    <w:p>
      <w:pPr>
        <w:pStyle w:val="Heading2"/>
      </w:pPr>
      <w:r>
        <w:t>Regeste</w:t>
      </w:r>
    </w:p>
    <w:p>
      <w:r>
        <w:t>CITATION À COMPARAÎTRE, ABSENCE | 355 al. 2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 e éd., Bâle 2014, n. 5 ad art. 355 CPP; Schwarzenegger, in : Donatsch/Hansjakob/Lieber [éd.], Kommentar zur Schweizerischen Strafprozess-ordnung, 2 e éd. 2014, n. 2 ad art. 355 CPP; CREP 26 janvier 2015/59).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une partie qui a qualité pour recourir (art. 382 al. 1 CPP) et dans les formes prescrites (art. 385 al. 1 CPP), de sorte qu’il est recevable.</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 2.4).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 2.3 et 2.5).</w:t>
      </w:r>
    </w:p>
    <w:p>
      <w:r>
        <w:rPr>
          <w:b/>
        </w:rPr>
        <w:t>E. 2.2</w:t>
      </w:r>
    </w:p>
    <w:p>
      <w:r>
        <w:t>En l'espèce, la recourante a été citée à comparaître à l'audience du 3 septembre 2015 devant le Ministère public par mandat du 13 juillet 2015, lequel comportait une indication claire des conséquences d'un éventuel défaut, et non par l'envoi du 2 septembre 2015 allégué par la recourante (cf. P. 3 produit à l'appui du recours) qui concerne une tout autre affaire (un envoi du Tribunal d’arrondissement de l’Est vaudois du 31 août 2015). Selon le relevé « track and trace », la poste a réexpédié le mandat de comparution du 13 juillet 2015 à la nouvelle adresse de la recourante, à [...], où celle-ci a été avisée le 15 juillet 2015, avant d'être retourné au greffe du Ministère public, avec la mention « non réclamé », à l’issue du délai de garde de sept jours fixé au 22 juillet 2015. Le mandat de comparution est donc réputé avoir été notifié le 22 juillet 2015, en application de l'art. 85 al. 4 CPP, dans la mesure où la recourante devait, après son opposition, s'attendre à recevoir des communications de l'autorité. Il en résulte que la comparution n'a pas été notifiée tardivement au sens de l'art. 202 al. 1 CPP. Par ailleurs, la recourante a produit un certificat médical qui fait état d'une incapacité de travail pour cause de maladie du 2 au 6 septembre 2015. Toutefois, ce certificat n'indique pas que cette incapacité aurait empêché la recourante de comparaître devant le Procureur à l'audience du 3 septembre 2015. Partant, c'est à bon droit que le Ministère public a considéré que V.________ avait fait défaut sans excuse à l'audience du 3 septembre 2015 et que l'opposition du 13 mai 2015 devait être réputée retirée.</w:t>
      </w:r>
    </w:p>
    <w:p>
      <w:r>
        <w:rPr>
          <w:b/>
        </w:rPr>
        <w:t>E. 3</w:t>
      </w:r>
    </w:p>
    <w:p>
      <w:r>
        <w:t>Sur le vu de ce qui précède,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3 septembre 2015 est confirmée. III. Les frais d’arrêt, par 550 fr. (cinq cent cinquante francs), sont mis à la charge de V.________. IV. Le présent arrêt est exécutoire. Le président :               La greffière : Du Le présent arrêt, dont la rédaction a été approuvée à huis clos, est notifié, par l'envoi d'une copie complète, à : - M. Habib Tabet, avocat (pour V.________), - M.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