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704 vom 18. September 2015</w:t>
      </w:r>
    </w:p>
    <w:p>
      <w:r>
        <w:t>VD Tribunal cantonal, 2015-09-18, FR</w:t>
      </w:r>
    </w:p>
    <w:p>
      <w:r>
        <w:rPr>
          <w:b/>
        </w:rPr>
        <w:t xml:space="preserve">Quelle: </w:t>
      </w:r>
      <w:r>
        <w:t>https://mcp.opencaselaw.ch/entscheid/vd_findinfo_D_cision___2015___704</w:t>
      </w:r>
    </w:p>
    <w:p>
      <w:r>
        <w:t>FR: VD_FINDINFO Décision / 2015 / 704 du 18 septembre 2015</w:t>
      </w:r>
    </w:p>
    <w:p>
      <w:r>
        <w:t>IT: VD_FINDINFO Décision / 2015 / 704 del 18 settembre 2015</w:t>
      </w:r>
    </w:p>
    <w:p>
      <w:pPr>
        <w:pStyle w:val="Heading2"/>
      </w:pPr>
      <w:r>
        <w:t>Regeste</w:t>
      </w:r>
    </w:p>
    <w:p>
      <w:r>
        <w:t>NON-LIEU, VOIES DE FAIT, ENLÈVEMENT{INFRACTION}, CONTRAINTE{DROIT PÉNAL}, INFRACTIONS CONTRE L'HONNEUR, FLAGRANT DÉLIT | 126 CP, 173 ch. 1 CP, 173 ch. 2 CP, 181 CP, 183 CP, 218 al. 1 let. a CPP (CH),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plaignante qui a qualité pour recourir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2.2.1</w:t>
      </w:r>
    </w:p>
    <w:p>
      <w:r>
        <w:t>En l’espèce, la recourante soutient que le Procureur aurait dû qualifier d'office les faits dénoncés et qu’en relation avec ceux survenus dans la salle de conférence, il aurait dû y voir une séquestration, subsidiairement une contrainte, des voies de fait, ainsi qu’une infraction contre l’honneur. A cet égard, elle reproche en particulier à D.________ de l’avoir empêchée de sortir de la salle de conférence en l’empoignant, en la maintenant par les bras, en la traitant de voleuse et en cherchant à lui faire signer un document ne correspondant pas à la réalité, dans lequel il était reproché à la jeune femme d’avoir eu une attitude non professionnelle au travail, tout en lui signifiant qu’il allait appeler la police. Le Procureur n’a pas jugé nécessaire d’établir si les faits dénoncés par la plaignante avaient effectivement eu lieu, se limitant à considérer, sans plus amples explications, que le fait de retenir Q.________ dans l’attente de l’intervention de la police ne paraissait pas illicite. Or, on ne voit pas quels motifs justificatifs légaux (art. 14 à 18 CP) justifiaient un tel comportement. Si, comme le suppose la recourante (recours, p. 7), le Procureur avait à l’esprit l’art. 218 al. 1 let. a CPP autorisant un particulier à arrêter provisoirement une personne lorsqu’elle est surprise en flagrant délit de crime ou de délit , cela aurait justifié des mesures d’instruction, comme l’audition de D.________ ou la production par la police du rapport d’intervention, afin d’établir précisément si la plaignante avait été surprise en flagrant délit de vol – ce qui n’a finalement pas été le cas (P. 6/1.18) –, le fait que cette dernière ait, dans sa plainte, indiqué que la police lui aurait demandé d’effacer des données de son téléphone cellulaire n’étant à cet égard pas déterminant. Il s’ensuit que le Procureur ne pouvait pas, sans ouvrir une instruction, partir du principe que le comportement dénoncé était licite. La recourante avait d’ailleurs d’emblée proposé, à titre de preuve, l’audition d’un témoin direct des faits dénoncés (P. 4/0). Il est donc nécessaire que le Procureur ouvre une instruction, les infractions de contrainte (art. 181 CP) et de séquestration (art. 183 CP) ne pouvant, au vu des éléments qui précèdent et des faits décrits par la plaignante, d’emblée être exclues, un concours réel entre ces deux dispositions étant par ailleurs envisageable lorsque la contrainte va au-delà de ce qui est nécessaire pour réaliser les conditions de la séquestration (Dupuis et al., Petit commentaire du Code pénal, Bâle 2012, n. 41 ad art. 183 CP). Il appartiendra en outre au Procureur d’instruire plus avant les faits afin de déterminer, le cas échéant, si D.________ peut avoir agi en pensant être dans son droit (art. 21 CP) ou en croyant à tort qu’il était légitimé à retenir la plaignante (art. 13 CP).</w:t>
      </w:r>
    </w:p>
    <w:p>
      <w:r>
        <w:rPr>
          <w:b/>
        </w:rPr>
        <w:t>E. 2.2.2</w:t>
      </w:r>
    </w:p>
    <w:p>
      <w:r>
        <w:t>Il ne saurait par ailleurs être considéré comme d'emblée exclu, au vu des circonstances décrites dans la plainte, que D.________, à qui il est reproché d'avoir empoigné et maintenu par les bras Q.________, se soit rendu coupable de voies de fait au sens de l’art. 126 CP, si les faits sont avérés, ce qu’il appartiendra au Procureur de déterminer.</w:t>
      </w:r>
    </w:p>
    <w:p>
      <w:r>
        <w:rPr>
          <w:b/>
        </w:rPr>
        <w:t>E. 2.2.3</w:t>
      </w:r>
    </w:p>
    <w:p>
      <w:r>
        <w:t>Le Procureur a ensuite considéré que dans la mesure où Q.________ avait été invitée par la police à effacer des données de son téléphone cellulaire, le qualificatif de « voleuse », certes fort, ne paraissait pas a priori contraire à la réalité. On ne saurait suivre ce raisonnement. Comme aucun acte d’instruction n’a été mené, on ignore en effet en quoi consistent exactement les données qui auraient été effacées, le rapport d’intervention de la police du 1 er juillet 2015 n’étant pas utile à cet égard puisqu’il se limite à dire qu’il s’agissait de « photos de capture d’écran » (P. 6/1.18, p. 3). Le Procureur ne pouvait donc pas d’emblée retenir que le qualificatif de voleuse était acceptable et ainsi écarter toute infraction contre l’honneur. Quand bien même il ressort du rapport d’intervention de la police qu’aucun document appartenant à l’entreprise C.________ n’a été subtilisé, il apparaît opportun de vérifier, après avoir déterminé les termes exacts utilisés par D.________, les allégations de ce dernier en procédant à des mesures d’instruction supplémentaires. Le Ministère public pourra ensuite examiner la réserve prévue à l’art. 173 ch. 2 CP selon les circonstances du cas d’espèce.</w:t>
      </w:r>
    </w:p>
    <w:p>
      <w:r>
        <w:rPr>
          <w:b/>
        </w:rPr>
        <w:t>E. 2.2.4</w:t>
      </w:r>
    </w:p>
    <w:p>
      <w:r>
        <w:t>Enfin, à ce stade de la procédure, la question – qui n’a pas été abordée par le Procureur dans son ordonnance de non-entrée en matière – de savoir si D.________ aurait effectivement espionné Q.________ durant plusieurs mois sur son lieu de travail à l’aide d’un logiciel espion installé sur son ordinateur et si ce comportement serait constitutif d’une infraction, comme le prétend la recourante (recours, p. 4), ne peut être tranchée en raison du peu d’éléments figurant au dossier. Seule une instruction pourra établir si les faits dénoncés sont avérés et, le cas échéant, si les éléments constitutifs d’une infraction pénale sont réalisés. Il appartiendra ainsi au Procureur de faire la lumière sur ces points.</w:t>
      </w:r>
    </w:p>
    <w:p>
      <w:r>
        <w:rPr>
          <w:b/>
        </w:rPr>
        <w:t>E. 3</w:t>
      </w:r>
    </w:p>
    <w:p>
      <w:r>
        <w:t>En définitive, le recours doit être admis, l'ordonnance attaquée annulée et le dossier de la cause renvoyé au Ministère public de l’arrondissement de l’Est vaudois pour il procède dans le sens des considérants. Les frais de la procédure de recours, constitués en l’espèce de l’émolument d'arrêt, par 770 fr. (20 al. 1 TFIP [Tarif des frais de procédure et indemnités en matière pénale du 28 septembre 2010; RSV 312.03.1]), seront laissés à la charge de l’Etat (art. 428 al. 4 CPP). S’agissant des dépens réclamés par la recourante, il appartiendra, le cas échéant, à cette dernière d’adresser à la fin de la procédure ses prétentions à l’autorité pénale compétente selon l’art. 433 al. 2 CPP (CREP 16 avril 2013/279 c. 4 et les références citées). Par ces motifs, la Chambre des recours pénale prononce : I. Le recours est admis. II. L’ordonnance du 7 juillet 2015 est annulée. III. Le dossier de la cause est renvoyé au Ministère public de l'arrondissement de l’Est vaudois pour qu’il procède dans le sens des considérants. IV. Les frais du présent arrêt, par 770 fr. (sept cent septante francs), sont laissés à la charge de l’Etat. V. Le présent arrêt est exécutoire. Le président :               Le greffier : Du Le présent arrêt, dont la rédaction a été approuvée à huis clos, est notifié, par l'envoi d'une copie complète, à : - M. Yves Cottagnoud, avocat (pour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