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702 vom 17. September 2015</w:t>
      </w:r>
    </w:p>
    <w:p>
      <w:r>
        <w:t>VD Tribunal cantonal, 2015-09-17, FR</w:t>
      </w:r>
    </w:p>
    <w:p>
      <w:r>
        <w:rPr>
          <w:b/>
        </w:rPr>
        <w:t xml:space="preserve">Quelle: </w:t>
      </w:r>
      <w:r>
        <w:t>https://mcp.opencaselaw.ch/entscheid/vd_findinfo_D_cision___2015___702</w:t>
      </w:r>
    </w:p>
    <w:p>
      <w:r>
        <w:t>FR: VD_FINDINFO Décision / 2015 / 702 du 17 septembre 2015</w:t>
      </w:r>
    </w:p>
    <w:p>
      <w:r>
        <w:t>IT: VD_FINDINFO Décision / 2015 / 702 del 17 settembre 2015</w:t>
      </w:r>
    </w:p>
    <w:p>
      <w:pPr>
        <w:pStyle w:val="Heading2"/>
      </w:pPr>
      <w:r>
        <w:t>Regeste</w:t>
      </w:r>
    </w:p>
    <w:p>
      <w:r>
        <w:t>OPPOSITION TARDIVE, ORDONNANCE DE CONDAMNATION | 354 CPP (CH), 356 al. 2 CPP (CH)</w:t>
      </w:r>
    </w:p>
    <w:p>
      <w:pPr>
        <w:pStyle w:val="Heading2"/>
      </w:pPr>
      <w:r>
        <w:t>Erwägungen</w:t>
      </w:r>
    </w:p>
    <w:p>
      <w:r>
        <w:rPr>
          <w:b/>
        </w:rPr>
        <w:t>E. 1</w:t>
      </w:r>
    </w:p>
    <w:p>
      <w:r>
        <w:t>Interjeté en temps utile, devant l’autorité de première instance qui l’a transmis à la Chambre des recours pénale en application de l’art. 91 al. 4 CPP, contre un prononcé d’irrecevabilité du tribunal de première instance par le condamné qui a qualité pour recourir (art. 382 al. 1 CPP), le recours est recevable (CREP 30 décembre 2014/924 ; CREP 24 septembre 2014/695 ; CREP 27 janvier 2014/63).</w:t>
      </w:r>
    </w:p>
    <w:p>
      <w:r>
        <w:rPr>
          <w:b/>
        </w:rPr>
        <w:t>E. 2.1</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Les délais fixés en jours commencent à courir le jour qui suit leur notification ou l’événement qui les déclenche (art. 90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(CREP 11 août 2014/499, CREP 24 septembre 2014/695). Elle est tardive si elle a été adressée au Ministère public après le délai de dix jours prévu par l'art. 354 al. 1 CPP.</w:t>
      </w:r>
    </w:p>
    <w:p>
      <w:r>
        <w:rPr>
          <w:b/>
        </w:rPr>
        <w:t>E. 2.2</w:t>
      </w:r>
    </w:p>
    <w:p>
      <w:r>
        <w:t>En l’espèce, il ressort de l’ordonnance pénale du 30 octobre 2013 que celle-ci a été remise au recourant le même jour en main propre. En outre, le rapport de police du 30 octobre 2013 mentionne que le procureur a demandé que le prévenu lui soit présenté, afin de lui notifier une ordonnance pénale (P. 8, p. 3). Cette circonstance résulte par ailleurs clairement du procès-verbal des opérations (p. 2 penultième inscription ad 30 octobre 2013). Ainsi, dans la mesure où il ressort du dossier que l’ordonnance pénale a été remise en main propre au recourant le 30 octobre 2013, l’opposition formée le 14 juillet 2015 apparaît manifestement tardive au regard de l’art. 354 al. 1 CPP. C’est donc à bon droit que le Tribunal de police de l’arrondissement de La Côte a déclaré l’opposition irrecevable et a constaté que l’ordonnance pénale du 30 octobre 2013 était exécutoire. Au reste, le recourant ne conteste pas la tardiveté de son opposition. Il n’a pas non plus demandé la restitution du délai pour agir en ce sens ni n’a prétendu qu'il aurait été empêché sans sa faute d'agir (art. 94 al. 1 CPP), mais il se borne à plaider sa cause au fond. Or, dans la mesure où l'opposition, qui n'a pas été formée dans le délai légal, n'est pas recevable, le recourant ne peut remettre en cause l'ordonnance pénale à ce stade de la procédure.</w:t>
      </w:r>
    </w:p>
    <w:p>
      <w:r>
        <w:rPr>
          <w:b/>
        </w:rPr>
        <w:t>E. 3</w:t>
      </w:r>
    </w:p>
    <w:p>
      <w:r>
        <w:t>En définitive, le recours, manifestement mal fondé, doit être rejeté sans autre échange d’écritures (art. 390 al. 2 CPP) et le prononcé du 3 septembre 2015 confirmé. Les frais de la procédure de recours, constitués en l'espèce du seul émolument d’arrêt, par 440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3 septembre 2015 est confirmé. III. Les frais d’arrêt, par 440 fr. (quatre cent quarante francs), sont mis à la charge de R.________. IV. Le présent arrêt est exécutoire. Le président :               Le greffier : Du Le présent arrêt, dont la rédaction a été approuvée à huis clos, est notifié, par l'envoi d'une copie complète, à : - M. R.________, - M. Y.________, - Ministère public central, et communiqué à : - Mme la Présidente du Tribunal de police de l’arrondissement de La Côte, - M. le Procureur de l’arrondissement de La Côte, - Office d’exécution des peines, -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