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701 vom 15. September 2015</w:t>
      </w:r>
    </w:p>
    <w:p>
      <w:r>
        <w:t>VD Tribunal cantonal, 2015-09-15, FR</w:t>
      </w:r>
    </w:p>
    <w:p>
      <w:r>
        <w:rPr>
          <w:b/>
        </w:rPr>
        <w:t xml:space="preserve">Quelle: </w:t>
      </w:r>
      <w:r>
        <w:t>https://mcp.opencaselaw.ch/entscheid/vd_findinfo_D_cision___2015___701</w:t>
      </w:r>
    </w:p>
    <w:p>
      <w:r>
        <w:t>FR: VD_FINDINFO Décision / 2015 / 701 du 15 septembre 2015</w:t>
      </w:r>
    </w:p>
    <w:p>
      <w:r>
        <w:t>IT: VD_FINDINFO Décision / 2015 / 701 del 15 settembre 2015</w:t>
      </w:r>
    </w:p>
    <w:p>
      <w:pPr>
        <w:pStyle w:val="Heading2"/>
      </w:pPr>
      <w:r>
        <w:t>Regeste</w:t>
      </w:r>
    </w:p>
    <w:p>
      <w:r>
        <w:t>NON-LIEU, DISPENSE DES FRAIS, FRAIS JUDICIAIRES, INDEMNITÉ{EN GÉNÉRAL}, HONORAIRES, AVOCAT | 426 al. 2 CPP (CH), 429 al. 1 let. a CPP (CH), 430 al. 1 let. a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 prévenu qui a la qualité pour recourir (cf. art. 382 al. 1 CPP), le recours est recevable. b) Le recours ne portant pas sur le classement de la procédure, mais uniquement sur le refus d’une indemnité du chef de l’art. 429 CPP et la mise à la charge du recourant des frais de justice, ce qui constitue une conséquence écono-mique accessoire de la décision (cf. Stephenson/Thiriet, in : Niggli/Heer/ Wiprächtiger [éd.], Basler Kommentar, Schweizerische Strafprozessordnung, Jugendstrafprozess-ordnung, 2 e éd., Bâle 2014, n. 5 ad art. 395 CPP ; Juge unique CREP 23 octobre 2013/643), l’art. 395 al. 1 let. b CPP entre en considération. Vu la valeur litigieuse en cause, n’excédant en l’occurrence pas le montant de 5'000 fr., le recours relève de la compétence d’un juge unique de la Chambre des recours pénale (cf. art. 395 al. 1 let. b CPP et art. 13 al. 2 LVCPP [loi d’introduction du Code de procédure pénale suisse; RSV 312.01]).</w:t>
      </w:r>
    </w:p>
    <w:p>
      <w:r>
        <w:rPr>
          <w:b/>
        </w:rPr>
        <w:t>E. 2</w:t>
      </w:r>
    </w:p>
    <w:p>
      <w:r>
        <w:t>e éd., Bâle 2014, n. 15 ad art. 429 CPP; Mizel/Rétornaz, in : Kuhn/Jeanneret [éd.], Commentaire romand, Code de procédure pénale suisse, Bâle 2011, n. 31 ad art. 429 CPP; Juge unique CREP 28 mars 2014/239; CAPE 14 mars 2012/88 c. 2.2; ATF 115 IV 156 c. 2d).</w:t>
      </w:r>
    </w:p>
    <w:p>
      <w:r>
        <w:rPr>
          <w:b/>
        </w:rPr>
        <w:t>E. 2.1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s’agissant de la faute, elle est une condition supplémentaire de la mise à la charge du prévenu de tout ou partie des frais.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 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Une mise à la charge des frais selon l’art. 426 al. 1 et 2 CPP exclut en principe le droit à une indemnité au sens de l’art. 429 al. 1 let a CPP. Cette question doit être tranchée après la question des frais. Dans cette mesure, la décision sur les frais préjuge de la décision sur l’indemnité. Il en résulte qu’en cas de condamnation aux frais, il n’y a pas lieu d’octroyer d’indemnité ou de réparer le tort moral alors que, lorsque les frais sont supportés par la caisse de l’Etat, le prévenu dispose d’un droit à une indemnité (ATF 137 IV 352 consid. 2.4.2 p. 357). L'indemnité selon l'art. 429 al. 1 let. a CPP concerne les dépenses du prévenu pour un avocat de choix (ATF 139 IV 241 c. 1; ATF 138 IV 205 c. 1 p. 206). Dans un arrêt de principe, le Tribunal fédéral a exposé que cette indemnisation ne se limitait pas au cas où l’intéressé avait été prévenu à tort d’avoir commis un crime ou un délit (ATF 138 IV 197, c. 2.3).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 2.3.5). Toutefois, l'Etat ne prend en charge les frais de défense que dans la mesure où l'assistance était nécessaire, compte tenu de la complexité de l'affaire en fait ou en droit, et où le volume de travail, et donc les honoraires de l'avocat, étaient ainsi justifiés (ATF 138 IV 197 c. 2.3.4; cf. ég. Message du Conseil fédéral relatif à l'unification du droit de la procédure pénale du 21 décembre 2005, FF 2006 II 1057 ss, spéc. 1313; Wehrenberg/Bernhard, in: Niggli/Heer/Wiprächtiger (éd.), Basler Kommentar, Schweizerische Strafprozessordnung, Jugendstrafprozessordnung,</w:t>
      </w:r>
    </w:p>
    <w:p>
      <w:r>
        <w:rPr>
          <w:b/>
        </w:rPr>
        <w:t>E. 2.2</w:t>
      </w:r>
    </w:p>
    <w:p>
      <w:r>
        <w:t>En l’espèce, le procureur a considéré qu’il convenait de mettre les frais de la procédure à la charge du prévenu et de rejeter sa demande d’indemnité fondée sur l’art. 429 CPP, dès lors qu’il avait compliqué notablement la procédure en tenant des propos confus sur son emploi du temps au moment des faits et que, la cause ne présentant aucune complexité, ni en fait ni en droit, l’intervention d’un avocat n’était pas nécessaire. L’appréciation du procureur ne saurait être suivie. S’agissant des frais, il n’apparaît pas que le recourant ait, de manière illicite et fautive, rendu plus difficile la conduite de la procédure au sens de l’art. 426 al. 2 CPP. Dès sa première audition, il a déclaré ne pas être l’auteur de l’infraction, a donné l’identité du conducteur, qui s’est avérée exacte, et n’a jamais varié dans ses déclarations. Le fait que son emploi du temps aux jour et heure de l’infraction n’ait pas été confirmé par les témoins ne constitue pas, à lui seul, un comportement fautif de nature à justifier l’application de l’art. 426 al. 2 CPP et la mise à sa charge des frais de procédure nonobstant le classement. En ce qui concerne l’indemnité réclamée par T.________ pour l’intervention de son défenseur au sens de l’art. 429 al. 1 let. a CPP, s’il est vrai que la nature de la cause ne paraît pas complexe, force est d’admettre que les enjeux de la procédure étaient relativement importants pour l’intéressé, qui exerce la profession de chauffeur et donne des cours d’auto école. En effet, l’excès de vitesse qui lui était reproché était non seulement de nature à aboutir à sa condamnation pénale, mais également, par extension, à une sanction administrative sous la forme d’un retrait du permis de conduire, pouvant mettre en péril son activité profession-nelle. De toute manière, comme relevé plus haut (c. 2.1, p. 5), les frais de défense dans une procédure simple doivent également être indemnisés, pour autant qu’ils procèdent d’un exercice raisonnable des droits de procédure, condition manifestement remplie en l’espèce, l’intervention du conseil du recourant ayant été utile et raisonnable. C’est donc à tort que le procureur a mis les frais de la cause à la charge de T.________ et qu’il a rejeté sa demande d’indemnité au titre des dépenses occasionnées par l'exercice raisonnable de ses droits de procédure.</w:t>
      </w:r>
    </w:p>
    <w:p>
      <w:r>
        <w:rPr>
          <w:b/>
        </w:rPr>
        <w:t>E. 3</w:t>
      </w:r>
    </w:p>
    <w:p>
      <w:r>
        <w:t>Le recours doit ainsi être admis, le chiffre II de l’ordonnance du 22 juin 2015 réformé en ce sens que les frais de la procédure, par 200 fr., sont laissés à la charge de l’Etat et le chiffre III annulé et le dossier de la cause renvoyé au Ministère public de l’arrondissement du Nord vaudois pour qu’il fixe l’indemnité au sens de l’art. 429 al. 1 let a CPP revenant au recourant, de façon à respecter la garantie de la double instance (CREP 28 mai 2015/371). Les frais de la procédure de recours, constitués en l’espèce de l’émolument d’arrêt (art. 422 al. 1 CPP), par 770 fr. (art. 20 al. 1 TFIP [tarif des frais de procédure et indemnités en matière pénale du 28 septembre 2010 ; RSV 312.03.1]), seront laissés à la charge de l’Etat (cf. art. 423 al. 1 CPP). Enfin, T.________, qui a obtenu gain de cause et qui a procédé avec l'assistance d'un conseil professionnel, a droit à une juste indemnité pour les dépenses occasionnées par la procédure de recours, fixée à 300 fr., plus la TVA par 24 fr., soit un total de 324 fr., à la charge de l’Etat (art. 429 al. 1 let. a CPP, applicable par renvoi de l’art. 436 al. 1 CPP). Par ces motifs, le juge unique prononce : I. Le recours est admis. II. Le chiffre II de l’ordonnance du 22 juin 2015 est annulé. III. Le chiffre III de l’ordonnance du 22 juin 2015 est réformé en ce sens que les frais de la procédure, par 200 fr. (deux cents francs), sont laissés à la charge de l’Etat. IV. L’ordonnance du 22 juin 2015 est maintenue pour le surplus. V. Le dossier de la cause est renvoyé au Ministère public de l’arrondisse-ment du Nord vaudois pour qu’il procède dans le sens des considérants. VI. Une indemnité de 324 fr. (trois cent vingt-quatre francs), TVA comprise, est allouée à T.________ pour la présente procédure de recours, à la charge de l’Etat. VII. Les frais d'arrêt, par 770 fr. (sept cent septante francs), sont laissés à la charge de l’Etat. VIII. Le présent arrêt est exécutoire. Le juge unique :               La greffière : Du Le présent arrêt, dont la rédaction a été approuvée à huis clos, est notifié, par l'envoi d'une copie complète, à : - M. Pierre-Yves Baumann, avocat (pour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