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700 vom 18. September 2015</w:t>
      </w:r>
    </w:p>
    <w:p>
      <w:r>
        <w:t>VD Tribunal cantonal, 2015-09-18, FR</w:t>
      </w:r>
    </w:p>
    <w:p>
      <w:r>
        <w:rPr>
          <w:b/>
        </w:rPr>
        <w:t xml:space="preserve">Quelle: </w:t>
      </w:r>
      <w:r>
        <w:t>https://mcp.opencaselaw.ch/entscheid/vd_findinfo_D_cision___2015___700</w:t>
      </w:r>
    </w:p>
    <w:p>
      <w:r>
        <w:t>FR: VD_FINDINFO Décision / 2015 / 700 du 18 septembre 2015</w:t>
      </w:r>
    </w:p>
    <w:p>
      <w:r>
        <w:t>IT: VD_FINDINFO Décision / 2015 / 700 del 18 settembre 2015</w:t>
      </w:r>
    </w:p>
    <w:p>
      <w:pPr>
        <w:pStyle w:val="Heading2"/>
      </w:pPr>
      <w:r>
        <w:t>Regeste</w:t>
      </w:r>
    </w:p>
    <w:p>
      <w:r>
        <w:t>LIBÉRATION CONDITIONNELLE, PRONOSTIC | 86 CP</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du CPP (Code de procédure pénale suisse du 5 octobre 2007, RS 312.0) relatives au recours (art. 38 al. 2 LEP). Le recours doit être adressé par écrit, dans un délai de dix jours dès la notification de la décision attaquée (cf. art. 384 let. b CPP), à l’autorité de recours (art. 396 al. 1 CPP).</w:t>
      </w:r>
    </w:p>
    <w:p>
      <w:r>
        <w:rPr>
          <w:b/>
        </w:rPr>
        <w:t>E. 1.2</w:t>
      </w:r>
    </w:p>
    <w:p>
      <w:r>
        <w:t>En l’espèce, interjeté en temps utile par une partie ayant qualité pour recourir et satisfaisant aux conditions de forme posées par l'art. 385 al. 1 CPP, le recours, qui a été transmis à la Cour de céans par l’autorité saisie, conformément au principe général codifié à l’art. 91 al. 4 CPP, est recevable.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 2.3 ; ATF 133 IV 201 précité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 1; ATF 133 IV 201 précité c. 2.3).</w:t>
      </w:r>
    </w:p>
    <w:p>
      <w:r>
        <w:rPr>
          <w:b/>
        </w:rPr>
        <w:t>E. 2.2</w:t>
      </w:r>
    </w:p>
    <w:p>
      <w:r>
        <w:t>En l’espèce, la condition objective des deux tiers de la peine prévue par l'art. 86 al. 1 CP sera réalisée dès le 24 septembre 2015. Selon les pièces figurant au dossier, à la Prison de la Croisée, K.________, qui est décrit comme une personne arrogante et malhonnête avec le personnel de surveillance et dont la cohabitation avec les codétenus est « compliquée à gérer », a fait l’objet de trois sanctions disciplinaires, prononcées les 7 et 8 mai 2015, ainsi que le 11 juin 2015, pour inobservation des règlements, refus d’obtempérer, atteintes à l’intégrité physique et à l’honneur, avant d’être transférée, en date du 24 juin 2015, à la Prison de Zurich. Ces comportements n'atteignent toutefois pas le degré de gravité interdisant d'emblée d'envisager la libération conditionnelle, le Tribunal fédéral ayant précisé à cet égard (ATF 119 IV 5 précité c. 1a/bb)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Les comportements reprochés au condamné doivent cependant être pris en considération dans l'établissement du pronostic ( ibidem ).</w:t>
      </w:r>
    </w:p>
    <w:p>
      <w:r>
        <w:rPr>
          <w:b/>
        </w:rPr>
        <w:t>E. 2.3</w:t>
      </w:r>
    </w:p>
    <w:p>
      <w:r>
        <w:t>A cet égard, à l’instar de l’OEP, il y a lieu de constater que le pronostic est clairement défavorable. En effet, les antécédents du recourant, âgé de 39 ans, sont particulièrement lourds. Il a à son passif pas moins de 25 condamnations, dont celles qu’il exécute actuellement. Il a persisté à commettre des infractions contre le patrimoine, à contrevenir à la loi sur les stupéfiants et à séjourner illégalement en Suisse. Il n’a par ailleurs pas hésité à récidiver peu après avoir été condamné pour vol à des peines privatives de liberté fermes et avoir subi plusieurs jours de détention préventive. Il fait en outre l’objet de trois nouvelles enquêtes pénales pour tentative de vol et infraction à la loi fédérale sur les étrangers. A cela s’ajoute qu’il a, lors de son audition du 4 septembre 2015, déclaré, à propos de ses antécédents, qu’il n’avait « pas le choix » (P. 5, ligne 30), se limitant à répondre, à la question de savoir ce qu’il pensait des délits qu’il commettait en plus du séjour illégal : « je suis trop vieux pour cela maintenant » (ligne 39). Partant, l’intéressé ne fait preuve d’aucun véritable amendement ni d’aucune prise de conscience sérieuse. S’il devait être libéré conditionnellement, le condamné, sans aucun statut en Suisse, ne pourrait vivre que dans l’illégalité. En d’autres termes, il ne pourra que perpétrer de nouvelles infractions, notamment à la loi fédérale sur les étrangers. En outre, K.________ s’oppose à un retour dans son pays d’origine (P. 5, ligne 33), le seul dans lequel il est pourtant légitimé à résider en l’état ; on relèvera à cet égard que, selon le courrier du Service des migrations du 28 avril 2015, il s’était, en 2009 déjà, opposé à son renvoi en lubrifiant complètement son corps de matières fécales, tandis qu’il disposait, à l’époque, de documents. Le prénommé envisage de se rendre en Belgique, alors qu’il n’est au bénéfice d’aucun titre lui permettant d’y séjourner légalement, ni même d’aucun papier d’identité, comme il l’admet lui-même (P. 5, lignes 33 et 36). Ensuite, le recourant, qui se dit « fatigué de la prison », ne fait état d’aucun projet concret ni réaliste, se bornant à affirmer vouloir se rendre « peut-être » en Belgique, où vivrait l’un de ses frères, dans le but de chercher du travail et de commencer « une nouvelle vie » (P. 5, lignes 36 et 51). Outre le fait qu’il avait fait valoir les mêmes arguments en 2008 devant le Juge d’application des peines, en déclarant qu’il en avait « marre de la prison » et qu’il envisageait de partir chez des amis en Belgique afin de trouver du travail (P. 4, PV aud. du 8 mai 2008, lignes 40 ss), le fait qu’il ne dispose, comme on l’a vu, d’aucun document impliquerait pour lui de se rendre clandestinement en Belgique, ce qui rend son projet incompatible avec les exigences d’une libération conditionnelle, comme cela lui avait d’ailleurs déjà été expliqué en 2008 (P. 4, ordonnance du Juge d’application des peines du 13 mai 2008). Enfin, on constatera que le recourant a fait l’objet, pendant son incarcération à la Prison de la Croisée, de trois sanctions disciplinaires en seulement 3 mois. Cela démontre l’incapacité de ce dernier à respecter l’autorité. La Direction de la Prison de Zurich a certes indiqué, dans son rapport du 28 juillet 2015, que le comportement de K.________ envers le personnel de surveillance et ses codétenus était correct, mais ce constat doit être relativisé, compte tenu de la courte période de détention examinée, le prénommé ayant été transféré dans cet établissement le 24 juin 2015.</w:t>
      </w:r>
    </w:p>
    <w:p>
      <w:r>
        <w:rPr>
          <w:b/>
        </w:rPr>
        <w:t>E. 2.4</w:t>
      </w:r>
    </w:p>
    <w:p>
      <w:r>
        <w:t>Au vu de tous ces éléments, c’est à raison que la Juge d’application des peines a refusé d’accorder à K.________ la libération conditionnelle.</w:t>
      </w:r>
    </w:p>
    <w:p>
      <w:r>
        <w:rPr>
          <w:b/>
        </w:rPr>
        <w:t>E. 3</w:t>
      </w:r>
    </w:p>
    <w:p>
      <w:r>
        <w:t>Il résulte de ce qui précède que le recours, manifestement mal fondé, doit être rejeté et l’ordonnance du 8 septembre 2015 confirmée. Les frais de la procédure de recours, constitués en l’espèce de l'émolument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8 septembre 2015 est confirmée. III. Les frais d’arrêt, par 880 fr. (huit cent huitante francs), sont mis à la charge de K.________. IV. Le présent arrêt est exécutoire. Le président :               Le greffier : Du Le présent arrêt, dont la rédaction a été approuvée à huis clos, est notifié, par l'envoi d'une copie complète, à : - M. K.________, - Ministère public central, et communiqué à : - Mme la Juge d’application des peines, - M. le Procureur de l’arrondissement de Lausanne, ‑ Office d’exécution des peines (réf. : OEP/PPL/47966/CGY/SMS), - Flughafengefängnis, - Service de la population, secteur départs (16.04.1977),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