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693 vom 7. September 2015</w:t>
      </w:r>
    </w:p>
    <w:p>
      <w:r>
        <w:t>VD Tribunal cantonal, 2015-09-07, FR</w:t>
      </w:r>
    </w:p>
    <w:p>
      <w:r>
        <w:rPr>
          <w:b/>
        </w:rPr>
        <w:t xml:space="preserve">Quelle: </w:t>
      </w:r>
      <w:r>
        <w:t>https://mcp.opencaselaw.ch/entscheid/vd_findinfo_D_cision___2015___693</w:t>
      </w:r>
    </w:p>
    <w:p>
      <w:r>
        <w:t>FR: VD_FINDINFO Décision / 2015 / 693 du 7 septembre 2015</w:t>
      </w:r>
    </w:p>
    <w:p>
      <w:r>
        <w:t>IT: VD_FINDINFO Décision / 2015 / 693 del 7 settembre 2015</w:t>
      </w:r>
    </w:p>
    <w:p>
      <w:pPr>
        <w:pStyle w:val="Heading2"/>
      </w:pPr>
      <w:r>
        <w:t>Regeste</w:t>
      </w:r>
    </w:p>
    <w:p>
      <w:r>
        <w:t>ESCROQUERIE | 146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w:t>
      </w:r>
    </w:p>
    <w:p>
      <w:r>
        <w:t>La recourante soutient que les indices d’escroquerie au procès seraient suffisants pour ordonner l’ouverture d’une instruction pénale (art. 309 al. 1 let. a CPP).</w:t>
      </w:r>
    </w:p>
    <w:p>
      <w:r>
        <w:rPr>
          <w:b/>
        </w:rPr>
        <w:t>E. 3.1</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L'escroquerie au sens de l'art. 146 CP suppose en particulier que l'auteur ait usé de tromperie et que celle-ci ait été astucieuse (ATF 128 IV 18 c. 3a; ATF 122 II 422 c. 3a; ATF 122 IV 246 c. 3a et les arrêts cités).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D’après la jurisprudence fédérale (ATF 122 IV 197, JT 1997 IV 145), ce que l’on appelle escroquerie au procès est compris sans autre dans la définition générale de l’escroquerie. Se rend coupable d’escroquerie celui qui, par tromperie, amène le Tribunal à trancher en défaveur de la partie adverse. Le fait d’établir de manière systématique et planifiée des preuves mensongères en les faisant correspondre les unes aux autres est une machination particulière «qui réalise l’élément constitutif de l’astuce» (ATF 122 IV 197 déjà cité, c. 3c). S’agissant de l’astuce, la doctrine précise que le degré de turpitude qu’il faudra développer pour que l’on retienne l’astuce dépendra notamment des règles de procédure applicables dans la cause jugée. Plus la procédure est sommaire, plus l’astuce sera admise facilement. Si la procédure prévoit des vérifications minutieuses, il faudra être plus sévère dans l’admission de l’astuce. Ainsi par exemple, ce qui constituera une astuce devant le juge de la mainlevée en droit des poursuites n’en constituera pas forcément une dans une cause identique mais avec un procès au fond (Note de Daniel Stoll, in JT 1997 IV 154, spéc. 156). En définitive, un simple mensonge ne suffit pas. Il est au contraire nécessaire que le juge soit trompé astucieusement par la production de moyens de preuve falsifiés ou obtenus de manière illicite (Favre/Pellet/Stoudmann, Code pénal annoté, 3 e éd., Lausanne 2007, n. 1.7 ad art.146 CP).</w:t>
      </w:r>
    </w:p>
    <w:p>
      <w:r>
        <w:rPr>
          <w:b/>
        </w:rPr>
        <w:t>E. 3.2</w:t>
      </w:r>
    </w:p>
    <w:p>
      <w:r>
        <w:t>Dans le cadre de son recours, la recourante admet elle-même que le mensonge ne suffit pas pour réaliser l’infraction d’escroquerie. Selon elle, les documents produits devant le juge civil, qui ne sont pas des faux, auraient toutefois été astucieusement utilisés pour faire croire à un prêt, alors qu’il s’agissait d’un remboursement. Cette « manipulation » aurait d’ailleurs été utilisée par l’intéressé dans d’autres situations. La plaignante aurait prêté les montants allégués sans avoir fait de quittance, en présence de « membres de sa famille » seulement, à une date indéterminée entre 2003 et 2006. J.________ aurait quant à lui pris la précaution de faire le versement par virement bancaire.</w:t>
      </w:r>
    </w:p>
    <w:p>
      <w:r>
        <w:rPr>
          <w:b/>
        </w:rPr>
        <w:t>E. 3.3</w:t>
      </w:r>
    </w:p>
    <w:p>
      <w:r>
        <w:t>La question relevait bien de la justice civile et il appartenait aux deux parties de faire valoir leurs moyens devant cette juridiction. A l’appui de sa plainte, la recourante n’a pas produit la moindre pièce du procès civil pour étayer ses affirmations. Elle n’a ainsi même pas produit les décisions des tribunaux civils. Elle ne prétend pas non plus détenir d’éléments nouveaux par rapport à l’époque où elle avait déjà fait valoir les mêmes arguments devant le juge civil en expliquant que les paiements faits par l’intimé correspondaient à des remboursements de prêts et non à de nouveaux prêts. Il n’y a donc aucun indice à l’appui de la thèse de la recourante, celle-ci ne cherchant même pas à appuyer ses propos. L’ordonnance de non-entrée en matière ne prête ainsi pas le flanc à la critique.</w:t>
      </w:r>
    </w:p>
    <w:p>
      <w:r>
        <w:rPr>
          <w:b/>
        </w:rPr>
        <w:t>E. 4</w:t>
      </w:r>
    </w:p>
    <w:p>
      <w:r>
        <w:t>En définitive, le recours, manifestement mal fondé, doit être rejeté sans autres échanges d’écritures (art. 390 al. 2 CPP) et l’ordonnance attaquée doit être confirmée.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10 juillet 2015 est confirmée. III. Les frais d’arrêt, par 660 fr. (six cent soixante francs), sont mis à la charge de Z.________. IV. Le présent arrêt est exécutoire. Le président :               La greffière : Du Le présent arrêt, dont la rédaction a été approuvée à huis clos, est notifié, par l'envoi d'une copie complète, à : - Me Michel Dupuis, avocat (pour Z.________),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