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692 vom 15. September 2015</w:t>
      </w:r>
    </w:p>
    <w:p>
      <w:r>
        <w:t>VD Tribunal cantonal, 2015-09-15, FR</w:t>
      </w:r>
    </w:p>
    <w:p>
      <w:r>
        <w:rPr>
          <w:b/>
        </w:rPr>
        <w:t xml:space="preserve">Quelle: </w:t>
      </w:r>
      <w:r>
        <w:t>https://mcp.opencaselaw.ch/entscheid/vd_findinfo_D_cision___2015___692</w:t>
      </w:r>
    </w:p>
    <w:p>
      <w:r>
        <w:t>FR: VD_FINDINFO Décision / 2015 / 692 du 15 septembre 2015</w:t>
      </w:r>
    </w:p>
    <w:p>
      <w:r>
        <w:t>IT: VD_FINDINFO Décision / 2015 / 692 del 15 settembre 2015</w:t>
      </w:r>
    </w:p>
    <w:p>
      <w:pPr>
        <w:pStyle w:val="Heading2"/>
      </w:pPr>
      <w:r>
        <w:t>Regeste</w:t>
      </w:r>
    </w:p>
    <w:p>
      <w:r>
        <w:t>SÉQUESTRE{MESURE PROVISIONNELLE}, VÉHICULE, CIRCULATION ROUTIÈRE{DROIT DE LA CIRCULATION ROUTIÈRE} | 90 al. 3 LCR, 90 al. 4 LCR, 90a LCR, 267 CPP (CH)</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63 CPP ; Lembo/Julen Berthod, in : Kuhn/Jeanneret [éd.], Commentaire romand, Code de procédure pénale suisse, Bâle 2011, n. 4 ad art. 267 CPP ; CREP 13 mars 2015/188 ; CREP 19 février 2015/51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auprès de l’autorité compétente, par le prévenu qui a qualité pour recourir (cf. art. 382 al. 1 CPP) et dans les formes prescrites (art. 385 al. 1 CPP), le recours est recevable.</w:t>
      </w:r>
    </w:p>
    <w:p>
      <w:r>
        <w:rPr>
          <w:b/>
        </w:rPr>
        <w:t>E. 2.1</w:t>
      </w:r>
    </w:p>
    <w:p>
      <w:r>
        <w:t>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w:t>
      </w:r>
    </w:p>
    <w:p>
      <w:r>
        <w:t>Le séquestre de type conservatoire – soit en vue d’une confiscation – (art. 263 al. 1 let. d CPP) consiste à placer sous main de justice des biens en raison du danger qu'ils présentent pour la sécurité des personnes, la morale ou l'ordre public (art. 69 CP ou, en matière d’infractions routières, art. 90a LCR [cf. TF 1B_252/2014 du 3 novembre 2014 c. 2.4, SJ 2015 I 221]), de leur origine ou de leur utilisation criminelle (art. 70 et 72 CP) pour autant que l'on puisse admettre, prima facie , qu'ils pourront être confisqués en application du droit fédéral (Lembo/Julen Berthod, in : Kuhn/Jeanneret [éd.], op. cit., n. 7 ad art. 263 CPP). En vertu de l’art. 90a al. 1 LCR, introduit le 1 er janvier 2013 dans le cadre du programme d’action de la Confédération visant à renforcer la sécurité routière (Via sicura),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w:t>
      </w:r>
    </w:p>
    <w:p>
      <w:r>
        <w:rPr>
          <w:b/>
        </w:rPr>
        <w:t>E. 2.3</w:t>
      </w:r>
    </w:p>
    <w:p>
      <w:r>
        <w:t>Le séquestre pénal est une mesure provisoire fondée sur la vraisemblance ; tant que l'instruction n'est pas achevée, une simple probabilité suffit (cf. TF 1B_152/2014 précité, SJ 2015 I 221 ; Moreillon/Parein-Reymond, op. cit., n. 20 ad art. 263 CPP) car, à l'instar de toute mesure provisionnelle, la saisie se rapporte à des prétentions encore incertaines (ATF 139 IV 250 c. 2.1 ; ATF 137 IV 145 c. 6.4 et les références citées ; TF 1B_127/2013 du 1 er mai 2013 c. 2). L'autorité doit pouvoir décider rapidement du séquestre provisoire (cf. art. 263 al. 2 CPP), ce qui exclut qu'elle résolve des questions juridiques complexes ou qu'elle attende d'être renseignée de manière exacte et complète sur les faits avant d'agir (ATF 140 IV 57 c. 4.1.2). Le séquestre pénal ne peut donc être levé que dans l’hypothèse où il est d’emblée manifeste et indubitable que les conditions matérielles d’une confiscation ne sont pas réalisées, et ne pourront l’être (ATF 140 IV 133 c. 4.2.1 ; TF 1B_152/2014 précité, SJ 2015 I 221).</w:t>
      </w:r>
    </w:p>
    <w:p>
      <w:r>
        <w:rPr>
          <w:b/>
        </w:rPr>
        <w:t>E. 2.4</w:t>
      </w:r>
    </w:p>
    <w:p>
      <w:r>
        <w:t>En l’espèce, la confiscation du véhicule Ferrari est fondée sur l’art. 263 al. 1 let. d CPP en relation avec l’art. 90a LCR. Il y a donc lieu d’examiner si les conditions de cette dernière disposition paraissent réalisées. Les deux dépassements de la vitesse autorisée de 123 km/h, respectivement de 90 km/h, marges de sécurité déduites, sur un tronçon où la limite était fixée à 120 km/h ne sont pas contestés par le recourant, de sorte que celui-ci apparaît s’être rendu coupable d’une violation de l’art. 90 al. 3 et 4 LCR. La première condition (let. a) posée par l’art. 90a al. 1 LCR paraît ainsi réalisée. Il en va de même pour la deuxième condition de cette disposition (art. 90a al. 1 let. b LCR). En effet, le recourant a commis le 23 juillet 2015 trois excès de vitesse, dont deux tombent sous le coup de l’art. 90 al. 3 et 4 LCR, au volant du véhicule Mercedes. Moins d’une semaine plus tard, il commettait de nouvelles infractions à la LCR au volant du véhicule Ferrari. Il ressort en outre du dossier que le recourant a un antécédent pénal récent en matière de circulation routière en Allemagne pour avoir circulé en 2013 à une vitesse de 141 km/h au lieu de 120 km/h, marge de sécurité déduite. En raison du moteur puissant et sportif, le véhicule Ferrari séquestré favorise particulièrement la commission de nouvelles violations de la LCR. Force est donc d’admettre que le pronostic concernant le risque pour la sécurité publique que représente le fait de laisser à l’avenir le véhicule entre les mains du recourant est défavorable. L’argumentation selon laquelle ce dernier ne pourrait plus commettre d’infractions à la LCR au motif qu’il s’est vu notifier une interdiction de conduire n’est pas pertinente, une telle interdiction n’étant pas de nature à exclure la commission de nouvelles infractions routières. Enfin, le recourant a été interné pour de graves troubles du comportement en Allemagne le 17 août 2015 pour une durée minimale de six semaines. Son aptitude à respecter une interdiction de conduire est dès lors sujette à caution. En l’état actuel de la procédure, il est suffisamment vraisemblable que le recourant mette à nouveau en danger la sécurité d’individus au moyen de son véhicule Ferrari. Par ailleurs, le séquestre ordonné à des fins de confiscation est proportionné (cf. art. 197 al. 1 let. c et d CPP) dans la mesure où il existe un cumul d'infractions à la LCR en Suisse sur une durée très courte, ce qui est d'autant plus significatif que le recourant ne fait, selon lui, que des passages dans notre pays (PV aud. 2). Partant, le séquestre opéré sur le véhicule Ferrari se justifie et doit être confirmé.</w:t>
      </w:r>
    </w:p>
    <w:p>
      <w:r>
        <w:rPr>
          <w:b/>
        </w:rPr>
        <w:t>E. 3</w:t>
      </w:r>
    </w:p>
    <w:p>
      <w:r>
        <w:t>Il résulte de ce qui précède que le recours, manifestement mal fondé, doit être rejeté sans autre échange d’écritures (art. 390 al. 2 CPP) et l’ordonnance du 31 juillet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610 fr., plus la TVA par 48 fr. 80, soit 658 fr. 80 au total, seront mis à la charge du recourant, qui succombe (art. 428 al. 1 CPP). Une défense d’office ayant été ordonnée en application de l’art. 132 al. 1 let. a ch. 1 CPP et non en raison du fait que le prévenu ne disposerait pas des moyens nécessaires, le remboursement à l’Etat de l’indemnité allouée au défenseur d’office de F.________ est immédiatement exigible (cf. art. 135 al. 4 CPP). Par ces motifs, la Chambre des recours pénale prononce : I. Le recours est rejeté. II. L’ordonnance du 31 juillet 2015 est confirmée. III. L'indemnité allouée au défenseur d'office de F.________ est fixée à 658 fr. 80 (six cent cinquante-huit francs et huitante centimes). IV. Les frais d'arrêt, par 880 fr. (huit cent huitante francs), ainsi que l'indemnité allouée au défenseur d’office du recourant pour la procédure de recours, par 658 fr. 80 (six cent cinquante-huit francs et huitante centimes), sont mis à la charge de ce dernier. V. Le remboursement à l'Etat de l'indemnité allouée au chiffre III ci-dessus est immédiatement exigible. VI. Le présent arrêt est exécutoire. Le président :               La greffière : Du Le présent arrêt, dont la rédaction a été approuvée à huis clos, est notifié, par l'envoi d'une copie complète, à : - Mme Janique Torchio, avocate (pour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