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684 vom 10. September 2015</w:t>
      </w:r>
    </w:p>
    <w:p>
      <w:r>
        <w:t>VD Tribunal cantonal, 2015-09-10, FR</w:t>
      </w:r>
    </w:p>
    <w:p>
      <w:r>
        <w:rPr>
          <w:b/>
        </w:rPr>
        <w:t xml:space="preserve">Quelle: </w:t>
      </w:r>
      <w:r>
        <w:t>https://mcp.opencaselaw.ch/entscheid/vd_findinfo_D_cision___2015___684</w:t>
      </w:r>
    </w:p>
    <w:p>
      <w:r>
        <w:t>FR: VD_FINDINFO Décision / 2015 / 684 du 10 septembre 2015</w:t>
      </w:r>
    </w:p>
    <w:p>
      <w:r>
        <w:t>IT: VD_FINDINFO Décision / 2015 / 684 del 10 settembre 2015</w:t>
      </w:r>
    </w:p>
    <w:p>
      <w:pPr>
        <w:pStyle w:val="Heading2"/>
      </w:pPr>
      <w:r>
        <w:t>Regeste</w:t>
      </w:r>
    </w:p>
    <w:p>
      <w:r>
        <w:t>OPPOSITION TARDIVE | 354 CPP (CH)</w:t>
      </w:r>
    </w:p>
    <w:p>
      <w:pPr>
        <w:pStyle w:val="Heading2"/>
      </w:pPr>
      <w:r>
        <w:t>Erwägungen</w:t>
      </w:r>
    </w:p>
    <w:p>
      <w:r>
        <w:rPr>
          <w:b/>
        </w:rPr>
        <w:t>E. 1</w:t>
      </w:r>
    </w:p>
    <w:p>
      <w:r>
        <w:t>Le prononcé par lequel un tribunal de première instance, statuant sur la validité de l'opposition formée par le prévenu contre une ordonnance pénale rendue par le Ministère public (cf. art. 356 al. 2 CPP [Code de procédure pénale suisse du 5 octobre 2007 ; RS 312.0]), déclare l'opposition irrecevable, par exemple pour cause de tardiveté, est susceptible de recours selon les art. 393 ss CPP (Gilliéron/Killias, in : Kuhn/Jeanneret [éd.], Commentaire romand, Code de procédure pénale suisse, Bâle 2011, n. 5 ad art. 356 CPP ; Riklin, in : Niggli/Heer/Wiprächtiger [éd.], Basler Kommentar, Schweizerische Strafprozess-ordnung, Jugendstrafprozessordnung, 2 e éd., Bâle 2014, n. 2 ad art. 356 CPP ; CREP 30 décembre 2014/925 ; CREP 24 septembre 2014/695).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 En l’espèce, le recours a été interjeté en temps utile devant l’autorité compétente par le condamné qui a qualité pour recourir (art. 382 al. 1 CPP) et dans les formes prescrites (art. 385 al. 1 CPP), de sorte qu’il est recevable.</w:t>
      </w:r>
    </w:p>
    <w:p>
      <w:r>
        <w:rPr>
          <w:b/>
        </w:rPr>
        <w:t>E. 2.1</w:t>
      </w:r>
    </w:p>
    <w:p>
      <w:r>
        <w:t>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 Aux termes de l’art. 85 CPP, sauf disposition contraire du CPP, les communications des autorités pénales sont notifiées en la forme écrite (al. 1). La notification se fait en principe par lettre signature ou par tout autre mode de communication impliquant un accusé de réception, notamment par l’entremise de la police (al. 2). Le prononcé est réputé notifié lorsqu’il a été remis au destinataire, à l’un de ses employés ou à toute personne de plus de seize ans vivant dans le même ménage (al. 3). Il est également réputé notifié (fiction de notification) lorsque, expédié par lettre signature, il n’a pas été retiré dans les sept jours à compter de la tentative infructueuse de remise du pli, si la personne concernée devait s’attendre à une telle remise (al. 4 let. a). Le délai de dix jours pour former opposition – qui ne peut être prolongé (cf.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(cf. art. 91 al. 2 CPP).</w:t>
      </w:r>
    </w:p>
    <w:p>
      <w:r>
        <w:rPr>
          <w:b/>
        </w:rPr>
        <w:t>E. 2.2</w:t>
      </w:r>
    </w:p>
    <w:p>
      <w:r>
        <w:t>En l’espèce, l’ordonnance pénale du 30 janvier 2014 a été expédiée par lettre signature du même jour à l’adresse figurant tant dans le rapport de police du 21 janvier 2014 (P. 4) que dans le procès-verbal d’audition du 22 janvier 2014 (PV aud. 1), alors qu’au terme de celle-ci, K.________ avait expressément indiqué être sans domicile fixe. La question, soulevée par le Procureur dans son courrier au Tribunal de police du 21 août 2015 (P. 13), de savoir si la notification intervenue le 30 janvier 2014 doit être considérée comme valable au regard de l'art. 85 al. 4 let. a CPP précité – ce qui paraît être le cas dès lors que le prénommé, entendu comme prévenu, a, à cette occasion, signé le document le rendant attentif aux dispositions légales régissant la notification d’une décision aux personnes sans domicile fixe et notamment à son obligation de désigner une personne en Suisse pour recevoir à sa place toutes les correspondances liées à l'enquête (PV aud. 1, annexe) – peut être laissée ouverte, dans la mesure où l’intéressé a, dans son opposition, admis avoir reçu l’ordonnance attaquée le 10 juin 2014 (P. 8/1). Le délai pour former opposition au sens de l’art. 354 al. 1 CPP a donc commencé à courir au plus tard le 11 juin 2014 pour arriver à échéance le vendredi 20 juin 2014. Remise à la poste le</w:t>
      </w:r>
    </w:p>
    <w:p>
      <w:r>
        <w:rPr>
          <w:b/>
        </w:rPr>
        <w:t>E. 3</w:t>
      </w:r>
    </w:p>
    <w:p>
      <w:r>
        <w:t>En définitive, le recours doit être rejeté sans autre échange d’écritures (art. 390 al. 2 CPP) et le prononcé du 25 août 2015 confirmé. Les frais de la procédure de recours, constitués en l'espèce du seul émolument d’arrêt, par 550 fr. (art. 20 al. 1 TFIP  [Tarif des frais de procédure et indemnités en matière pénale du 28 septembre 2010; RSV 312.03.1]), seront mis à la charge du recourant, qui succombe (art. 428 al. 1 CPP). Par ces motifs, la Chambre des recours pénale prononce : I. Le recours est rejeté. II. Le prononcé du 25 août 2015 est confirmé. III. Les frais de la procédure de recours, par 550 fr. (cinq cent cinquante francs), sont mis à la charge de K.________. IV. Le présent arrêt est exécutoire. Le président :               Le greffier : Du Le présent arrêt, dont la rédaction a été approuvée à huis clos, est notifié, par l'envoi d'une copie complète, à : - M. K.________, - Ministère public central, et communiqué à : ‑ M. le Président du Tribunal de l’arrondissement de Lausanne, - M. le Procureur cantonal Strada, - Office fédéral de la police, - Service de renseignement de la Confédération, - M. [...], - M.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