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678 vom 9. September 2015</w:t>
      </w:r>
    </w:p>
    <w:p>
      <w:r>
        <w:t>VD Tribunal cantonal, 2015-09-09, FR</w:t>
      </w:r>
    </w:p>
    <w:p>
      <w:r>
        <w:rPr>
          <w:b/>
        </w:rPr>
        <w:t xml:space="preserve">Quelle: </w:t>
      </w:r>
      <w:r>
        <w:t>https://mcp.opencaselaw.ch/entscheid/vd_findinfo_D_cision___2015___678</w:t>
      </w:r>
    </w:p>
    <w:p>
      <w:r>
        <w:t>FR: VD_FINDINFO Décision / 2015 / 678 du 9 septembre 2015</w:t>
      </w:r>
    </w:p>
    <w:p>
      <w:r>
        <w:t>IT: VD_FINDINFO Décision / 2015 / 678 del 9 settembre 2015</w:t>
      </w:r>
    </w:p>
    <w:p>
      <w:pPr>
        <w:pStyle w:val="Heading2"/>
      </w:pPr>
      <w:r>
        <w:t>Regeste</w:t>
      </w:r>
    </w:p>
    <w:p>
      <w:r>
        <w:t>LOI FÉDÉRALE RÉGISSANT LA CONDITION PÉNALE DES MINEURS, NAISSANCE, COMPÉTENCE, MINISTÈRE PUBLIC, MAJORITÉ{ÂGE}, MINORITÉ{ÂGE} | 9 al. 2 CP</w:t>
      </w:r>
    </w:p>
    <w:p>
      <w:pPr>
        <w:pStyle w:val="Heading2"/>
      </w:pPr>
      <w:r>
        <w:t>Erwägungen</w:t>
      </w:r>
    </w:p>
    <w:p>
      <w:r>
        <w:rPr>
          <w:b/>
        </w:rPr>
        <w:t>E. 1</w:t>
      </w:r>
    </w:p>
    <w:p>
      <w:r>
        <w:t>Aux termes de l’art. 393 al. 1 let. a CPP (Code de procédure pénale suisse du 5 octobre 2007,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par le prévenu qui a qualité pour recourir (art. 382 al. 1 CPP) et dans les formes prescrites (art. 385 al. 1 CPP). Il est donc recevable.</w:t>
      </w:r>
    </w:p>
    <w:p>
      <w:r>
        <w:rPr>
          <w:b/>
        </w:rPr>
        <w:t>E. 2.1</w:t>
      </w:r>
    </w:p>
    <w:p>
      <w:r>
        <w:t>Selon l’art. 9 al. 2, 1 re phrase, CP (Code pénal suisse du 21 décembre 1937; RS 311.0), le droit pénal des mineurs du 20 juin 2003 (Loi fédérale régissant la condition pénale des mineurs du 20 juin 2003 [DPMin] ; RS 311.1) s’applique aux personnes qui n’ont pas 18 ans le jour de l’acte. Cette disposition est reprise aux art. 1 al. 1 et 3 al. 1 DPMin.</w:t>
      </w:r>
    </w:p>
    <w:p>
      <w:r>
        <w:rPr>
          <w:b/>
        </w:rPr>
        <w:t>E. 2.2</w:t>
      </w:r>
    </w:p>
    <w:p>
      <w:r>
        <w:t>En l’espèce, les faits reprochés à X.________ se seraient déroulés dans la nuit du 14 au 15 avril 2015, date à laquelle il était majeur s’il est né le 22 février 1997, mais mineur si la date de naissance du 22 février 1999 devait être retenue. Par conséquent, cette question revêt une importance déterminante pour la suite de la procédure et il appartient bien au ministère public de déterminer si l’âge du prévenu pourrait faire obstacle à la poursuite pénale et imposer un dessaisissement en faveur de la juridiction des mineurs.</w:t>
      </w:r>
    </w:p>
    <w:p>
      <w:r>
        <w:rPr>
          <w:b/>
        </w:rPr>
        <w:t>E. 2.3</w:t>
      </w:r>
    </w:p>
    <w:p>
      <w:r>
        <w:t>X.________ ne dispose d’aucun document d’identité. Il ressort du dossier qu’il est connu sous un nombre important d’alias (cf. P.19, p. 2 et extrait du casier judiciaire), à savoir notamment : - [...], né le 00.00.1998 - [...], né le 00.00.1997 - [...], né le 22.02.1999 - [...], né le 22.02.1997 - [...], né le 22.02.1997 - [...], né le 22.02.1999 - [...], né le 12.02.1997. Pour le surplus, le dossier contient divers éléments – tant judiciaires que médico-légaux – dont les uns permettent de retenir une date de naissance le 22 février 1997 et les autres le 22 février 1999. En particulier, X.________ a été condamné par ordonnance pénale de la Présidente du Tribunal des mineurs du canton de Vaud du 4 septembre 2014. Il ressort de cette ordonnance que la date de naissance retenue était celle du 22 février 1999. Toutefois, cette ordonnance ne contient aucune analyse de la véracité de cette mention (P. 14). En revanche, le Tribunal régional des montagnes et du Val-de-Ruz, Tribunal pénal des mineurs (ci-après : Tribunal des mineurs du canton de Neuchâtel), dans un jugement du 15 janvier 2015, a longuement analysé l’âge du prévenu (P. 10, p. 13). Le tribunal a finalement retenu une date de naissance du 22 février 1997 en s’appuyant notamment sur un rapport médical de l’Université de Bâle du 13 août 2013, sur le fait que le prévenu aurait admis être né le 22 février 1997 devant le juge des mineurs du canton de Fribourg le 28 février 2014 et sur un rapport du 13 novembre 2014 de l’Unité de médecine forensique du CHUV, qui serait lui-même fondé sur des rapports odontologiques du 17 novembre 2014 et radiologiques du 25 novembre 2014, dont on peut s’étonner qu’ils aient été rendus à des dates postérieures au rapport principal.</w:t>
      </w:r>
    </w:p>
    <w:p>
      <w:r>
        <w:rPr>
          <w:b/>
        </w:rPr>
        <w:t>E. 2.4</w:t>
      </w:r>
    </w:p>
    <w:p>
      <w:r>
        <w:t>Manifestement, plusieurs autorités judiciaires ont tranché de manière différente la question relative à l’année de naissance de X.________. Or, en l’état, on ne saurait accorder davantage de crédit à l’une ou l’autre de ces décisions. En effet, si le jugement neuchâtelois apparaît a priori davantage motivé que l’ordonnance vaudoise, le dossier d’instruction de la présente cause ne contient aucun des rapports sur lesquels s’est fondé le Tribunal des mineurs du canton de Neuchâtel dans son jugement du 15 janvier 2015. Le Ministère public ne peut dès lors pas s’appuyer sur le raisonnement suivi par les experts, ni même le vérifier, respectivement exposer les motifs qui le conduiraient à s’en écarter. Faute d’éléments, il n’apparaît pas possible, en l’état du dossier, de trancher la question de la date de naissance du recourant et il appartiendra au ministère public de requérir la production des rapports d’expertise effectués à ce sujet, voire de demander un complément d’expertise auprès des experts lausannois si un doute devait subsister à la lecture de ces différents documents. Pour ce motif déjà, le recours de X.________ doit être admis. Il importe par conséquent peu de savoir si le recourant serait suffisamment habitué aux rouages judiciaires pour avoir anticipé la question de la compétence des autorités judiciaires pénales en relation avec son âge.</w:t>
      </w:r>
    </w:p>
    <w:p>
      <w:r>
        <w:rPr>
          <w:b/>
        </w:rPr>
        <w:t>E. 3</w:t>
      </w:r>
    </w:p>
    <w:p>
      <w:r>
        <w:t>En définitive, le recours doit être admis et l’ordonnance en constatation de compétence rendue le 14 août 2015 annulée. Le dossier de la cause sera renvoyé au Ministère public de l'arrondissement de Lausanne pour qu’il procède dans le sens des considérants. Le recourant obtenant gain de cause, les frais de la procédure de recours, constitués de l’émolument d'arrêt (art. 422 al. 1 CPP), par 550 fr. (art. 20 al. 1 TFIP [Tarif des frais de procédure et indemnités en matière pénale du 28 septembre 2010; RSV 312.03.1]), et des frais imputables à la défense d'office (art. 422 al. 1 et 2 let. a CPP), arrêtés à 540 fr., plus la TVA par 43 fr. 20, soit au total 583 fr. 20,  seront laissés à la charge de l’Etat (art. 428 al. 4 CPP). Par ces motifs, la Chambre des recours pénale prononce : I. Le recours est admis. II. L’ordonnance du 14 août 2015 annulée. III. Le dossier de la cause est renvoyé au Ministère public de l'arrondissement de Lausanne pour qu’il procède dans le sens des considérants. IV. L’indemnité allouée au défenseur d’office de X.________ est fixée à 583 fr. 20 (cinq cent huitante-trois francs et vingt centimes). V. Les frais d’arrêt, par 550 fr. (cinq cent cinquante francs), ainsi que l’indemnité due au défenseur d’office de X.________ selon chiffre IV ci-dessus, sont laissés à la charge de l’Etat. VI. Le présent arrêt est exécutoire. Le président :               La greffière : Du Le présent arrêt, dont la rédaction a été approuvée à huis clos, est notifié, par l'envoi d'une copie complète, à : - Mme Elisabeth Chappuis, avocate (pour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