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675 vom 19. August 2015</w:t>
      </w:r>
    </w:p>
    <w:p>
      <w:r>
        <w:t>VD Tribunal cantonal, 2015-08-19, FR</w:t>
      </w:r>
    </w:p>
    <w:p>
      <w:r>
        <w:rPr>
          <w:b/>
        </w:rPr>
        <w:t xml:space="preserve">Quelle: </w:t>
      </w:r>
      <w:r>
        <w:t>https://mcp.opencaselaw.ch/entscheid/vd_findinfo_D_cision___2015___675</w:t>
      </w:r>
    </w:p>
    <w:p>
      <w:r>
        <w:t>FR: VD_FINDINFO Décision / 2015 / 675 du 19 août 2015</w:t>
      </w:r>
    </w:p>
    <w:p>
      <w:r>
        <w:t>IT: VD_FINDINFO Décision / 2015 / 675 del 19 agosto 2015</w:t>
      </w:r>
    </w:p>
    <w:p>
      <w:pPr>
        <w:pStyle w:val="Heading2"/>
      </w:pPr>
      <w:r>
        <w:t>Regeste</w:t>
      </w:r>
    </w:p>
    <w:p>
      <w:r>
        <w:t>INTÉRÊT JURIDIQUEMENT PROTÉGÉ, DISJONCTION DE CAUSES, DÉCISION D'IRRECEVABILITÉ | 382 al. 1 CPP (CH)</w:t>
      </w:r>
    </w:p>
    <w:p>
      <w:pPr>
        <w:pStyle w:val="Heading2"/>
      </w:pPr>
      <w:r>
        <w:t>Erwägungen</w:t>
      </w:r>
    </w:p>
    <w:p>
      <w:r>
        <w:rPr>
          <w:b/>
        </w:rPr>
        <w:t>E. 1.1</w:t>
      </w:r>
    </w:p>
    <w:p>
      <w:r>
        <w:t>Aux termes de l'art. 382 al. 1 CPP, toute partie qui a un intérêt juridiquement protégé à l’annulation ou à la modification d’une décision a qualité pour recourir contre celle-ci. Cet intérêt se distingue de l’intérêt digne de protection, qui n’est pas nécessairement un intérêt juridique, mais peut être un intérêt de fait. Toutefois, un intérêt de fait ne suffit pas à conférer la qualité pour recourir (ATF 133 IV 121 c. 1.2; Calame, in : Kuhn/Jeanneret (éd.), Commentaire romand, Code de procédure pénale suisse, Bâle 2011, n. 1 et 2 ad art. 382 CPP; Lieber, in : Donatsch/Hansjakob/Lieber (éd.), Kommentar zum Schweizerischen Strafprozessordnung, Zurich 2014, n. 7 ad art. 382 CPP et la référence citée).</w:t>
      </w:r>
    </w:p>
    <w:p>
      <w:r>
        <w:rPr>
          <w:b/>
        </w:rPr>
        <w:t>E. 1.2</w:t>
      </w:r>
    </w:p>
    <w:p>
      <w:r>
        <w:t>Le recourant n’est au bénéfice d’un intérêt juridiquement protégé que s’il est directement atteint, c’est-à-dire lésé dans ses droits par la décision attaquée. Il ne suffit pas qu’il soit atteint dans ses droits par effet réflexe (Calame, op. cit., n. 2 ad art. 382 CPP; Lieber, op. et loc. cit.; Schmid, Schweizerische Strafprozessordnung, Praxiskommentar, Zurich/St-Gall 2009, n. 2 ad art. 382 CPP). Le recourant doit ainsi établir que la décision attaquée viole une règle de droit qui a pour but de protéger ses intérêts et qu’il peut par conséquent en déduire un droit subjectif. L’intérêt doit donc être personnel. La violation d’un intérêt relevant d’un autre sujet de droit est insuffisante pour créer la qualité pour agir. Ainsi, un prévenu ne peut se plaindre de la manière dont un coprévenu a été traité (Calame, op. et loc. cit.; ATF 131 IV 191 c. 1.2), car il n’a pas forcément un intérêt juridiquement protégé à obtenir la condamnation ou même la participation au procès de celui-ci lorsque ce dernier a été libéré, la notion de compensation de fautes n’existant pas en droit pénal (cf. CREP 12 août 2011/318 et CREP 4 décembre 2013/717 ; Schmidt, Handbuch des schweizerischen Strafprozessrechts, 2 e édition, Zurich 2013, n. 1461).</w:t>
      </w:r>
    </w:p>
    <w:p>
      <w:r>
        <w:rPr>
          <w:b/>
        </w:rPr>
        <w:t>E. 1.3</w:t>
      </w:r>
    </w:p>
    <w:p>
      <w:r>
        <w:t>En l’espèce, s’agissant de la recevabilité de son recours, X.________ soutient qu’il serait directement touché par la décision de disjonction et que celle-ci lui causerait une atteinte irréparable, dès lors qu’elle le priverait de sa qualité de partie dans la procédure instruite à l’encontre d’O.________ et qu’il ne serait plus en mesure de la contester en interjetant appel à l’encontre du jugement au fond. Contestant le bien-fondé de la disjonction, il fait notamment valoir que les faits qui sont reprochés à O.________ et à lui-même seraient identiques et relèveraient d’un même complexe de faits. Ainsi, il existerait non seulement un risque de jugements contradictoires, mais en outre le jugement rendu à l’encontre de son co-prévenu préjugerait de son propre sort. Au vu des principes énoncés ci-dessus, force est de constater que le recourant n’est atteint dans ses droits par la décision de disjonction que par effet réflexe. Le fait que, privé de sa qualité de partie dans la procédure instruite à l’encontre de son co-prévenu, il ne puisse pas remettre en cause l’acquittement de ce dernier ainsi que l’état de fait retenu par le Tribunal n’est pas suffisant pour se prévaloir d’un intérêt juridiquement protégé. Pour le surplus, le recourant fait valoir des arguments de fond sans démontrer en quoi la décision attaquée violerait directement une règle de droit destinée à protéger ses intérêts et sur quelle base il en déduit un droit subjectif. Par conséquent, faute d’intérêt juridiquement protégé établi, la qualité pour recourir ne saurait être accordée à X.________.</w:t>
      </w:r>
    </w:p>
    <w:p>
      <w:r>
        <w:rPr>
          <w:b/>
        </w:rPr>
        <w:t>E. 2</w:t>
      </w:r>
    </w:p>
    <w:p>
      <w:r>
        <w:t>En définitive, le recours doit être déclaré irrecevable sans autre échange d’écritures (art. 390 al. 2 CPP). L’indemnité due au défenseur d'office du recourant sera fixée à 450 fr., plus la TVA, par 36 fr., ce qui porte le montant alloué à 486 francs. Les frais de la procédure de recours, constitués en l’espèce de l'émolument d'arrêt, par 550 fr. (art. 422 al. 1 CPP et art. 20 al. 1 TFJP [tarif des frais judiciaires pénaux; RSV 312.03.1]), et des frais imputables à la défense d'office du recourant (art. 422 al. 1 et 2 let. a CPP), par 486 fr., seront mis à la charge du recourant, qui succombe (art. 428 al. 1 CPP). Le remboursement à l'Etat de l'indemnité allouée au défenseur d'office du recourant ne sera toutefois exigible que pour autant que la situation économique de ce dernier se soit améliorée (art. 135 al. 4 CPP). Par ces motifs, la Chambre des recours pénale prononce : I. Le recours est irrecevable. II. L'indemnité allouée au défenseur d'office de X.________ est fixée à 486 fr. (quatre cent huitante-six francs). III. Les frais du présent arrêt, par 550 fr. (cinq cent cinquante francs), ainsi que l'indemnité due au défenseur d'office de X.________ selon le chiffre II ci-dessus, sont mis à la charge de ce dernier. IV. Le remboursement à l'Etat de l'indemnité allouée au chiffre II ci-dessus sera exigible pour autant que la situation de X.________ se soit améliorée. V. Le présent arrêt est exécutoire. Le président :               La greffière : Du Le présent arrêt, dont la rédaction a été approuvée à huis clos, est notifié, par l'envoi d'une copie complète, à : - M. Vincent Demierre, avocat (pour X.________), - Ministère public central, et communiqué à : ‑ Mme la Présidente du Tribunal correctionnel de l’arrondissement de Lausanne, - M. le Procureur de l’arrondissement de Lausanne, - Me Olivier Constantin, avocat (pour O.________), - Me Julie André, avocate (pour G.________), - Me Elisabeth Chappuis, avocate (pour B.________),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