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668 vom 4. September 2015</w:t>
      </w:r>
    </w:p>
    <w:p>
      <w:r>
        <w:t>VD Tribunal cantonal, 2015-09-04, FR</w:t>
      </w:r>
    </w:p>
    <w:p>
      <w:r>
        <w:rPr>
          <w:b/>
        </w:rPr>
        <w:t xml:space="preserve">Quelle: </w:t>
      </w:r>
      <w:r>
        <w:t>https://mcp.opencaselaw.ch/entscheid/vd_findinfo_D_cision___2015___668</w:t>
      </w:r>
    </w:p>
    <w:p>
      <w:r>
        <w:t>FR: VD_FINDINFO Décision / 2015 / 668 du 4 septembre 2015</w:t>
      </w:r>
    </w:p>
    <w:p>
      <w:r>
        <w:t>IT: VD_FINDINFO Décision / 2015 / 668 del 4 settembre 2015</w:t>
      </w:r>
    </w:p>
    <w:p>
      <w:pPr>
        <w:pStyle w:val="Heading2"/>
      </w:pPr>
      <w:r>
        <w:t>Regeste</w:t>
      </w:r>
    </w:p>
    <w:p>
      <w:r>
        <w:t>DÉTENTION PROVISOIRE, RISQUE DE COLLUSION | 221 al. 1 let. b CPP (CH), 393 al. 1 let. c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la sécurité d’autrui par des crimes ou des délits graves après avoir déjà commis des infractions du même genre (let. c).</w:t>
      </w:r>
    </w:p>
    <w:p>
      <w:r>
        <w:rPr>
          <w:b/>
        </w:rPr>
        <w:t>E. 2.2</w:t>
      </w:r>
    </w:p>
    <w:p>
      <w:r>
        <w:t>L’existence de présomptions de culpabilité suffisantes n’est en l’occurrence pas remise en cause par le recourant, celui-ci ayant d’ailleurs reconnu les faits qui lui étaient reprochés.</w:t>
      </w:r>
    </w:p>
    <w:p>
      <w:r>
        <w:rPr>
          <w:b/>
        </w:rPr>
        <w:t>E. 3</w:t>
      </w:r>
    </w:p>
    <w:p>
      <w:r>
        <w:t>Le recourant soutient qu’il n’existerait plus de risque de collusion.</w:t>
      </w:r>
    </w:p>
    <w:p>
      <w:r>
        <w:rPr>
          <w:b/>
        </w:rPr>
        <w:t>E. 3.1</w:t>
      </w:r>
    </w:p>
    <w:p>
      <w:r>
        <w:t>Selon l'art. 221 al. 1 let. b CPP, le maintien en détention provisoire se justifie notamment lorsqu’il y a sérieusement lieu de craindre que le prévenu compromette la recherche de la vérité en exerçant une influence sur des personnes ou en altérant des moyens de preuves.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in Kuhn/Jeanneret (éd.), Commentaire romand, Code de procédure pénale, Bâle 2011, nn. 14 et 15 ad art. 221 CPP; cf. ATF 137 IV 122 c. 6.2 et 6.4) – vise à garantir la constatation exacte et complète des faits (cf. CREP 1 er avril 2015/227).</w:t>
      </w:r>
    </w:p>
    <w:p>
      <w:r>
        <w:rPr>
          <w:b/>
        </w:rPr>
        <w:t>E. 3.2</w:t>
      </w:r>
    </w:p>
    <w:p>
      <w:r>
        <w:t>En l’espèce, l’épouse du prévenu, qui est soupçonnée de complicité, a été appréhendée le 16 août 2015 à son arrivée à l’aéroport de Genève. Elle est détenue provisoirement depuis cette date. Elle a contesté connaître la provenance délictueuse de l’argent que lui avait remis son époux et a déclaré qu’elle avait déposé la somme de 48'000 fr. dans un coffre bancaire à Vienne. Le séquestre des avoirs bancaires du prévenu en Suisse ainsi que la production des relevés de ses comptes ont été ordonnés. Dans ce cadre, un montant de 290'000 fr. a pu être bloqué. Le 20 août 2015, une demande d’entraide judiciaire internationale a été adressée à l’intention des autorités autrichiennes, afin de saisir les avoirs qui se trouvaient dans le coffre bancaire précité et de déterminer si d’autres personnes y avaient accès. Outre l’examen des documents bancaires qui ont été produits après le dépôt de la demande de mise en liberté du recourant, d’autres mesures d’instruction sont en cours, notamment l’analyse des données extraites des téléphones cellulaires des prévenus. Ces mesures permettront de déterminer si d’autres personnes ont bénéficié des détournements de fonds opérés par S.________. A cet égard, l’enquête a permis d’établir que le prévenu avait prélevé 8'800 euros sur le compte de la société plaignante pour les reverser, le 22 avril 2015, sur le compte d’un tiers à Vienne, et ce alors qu’il avait non seulement nié connaître le tiers en question, mais qu’il avait en outre affirmé qu’il n’avait effectué que des versements sur ses cartes de crédit et sur son compte personnel et qu’il n’avait jamais fait de versement à d’autres personnes (PV d’audition 2, l. 70-72). Au vu des éléments qui précèdent, force est de considérer, à l’instar du premier juge, que le risque de collusion demeure avéré. La libération du prévenu pourrait compromettre le résultat des mesures d’instruction en cours, ce d’autant plus que des doutes subsistent quant à sa collaboration et que les deux derniers montants qu’il a détournés, sans commune mesure avec son mode opératoire habituel, soit 52'617,95 CHF et 296'879,28 USD, soulèvent des questions notamment s’agissant de l’existence d’éventuels autres bénéficiaires. Contrairement à ce qu’a invoqué le recourant, le fait que la société plaignante l’ait prié de revenir sur son lieu de travail pendant son délai de congé, au lieu de le licencier avec effet immédiat, n’a aucune incidence sur le constat qui précède. Enfin, aucune mesure de substitution n’est susceptible d’atteindre le même but que la détention provisoire, qui reste en l’état conforme au principe de la proportionnalité compte tenu de la gravité des faits qui sont reprochés au recourant, ses malversations s’étendant sur plusieurs années et portant sur un montant total de plus de 450'000 francs. En particulier, la promesse de remboursement des fonds détournés et la constitution d’un montant de 50'000 fr. à titre de sûretés, comme l’a proposé le recourant, ne sont pas propres à écarter le risque de collusion retenu.</w:t>
      </w:r>
    </w:p>
    <w:p>
      <w:r>
        <w:rPr>
          <w:b/>
        </w:rPr>
        <w:t>E. 4</w:t>
      </w:r>
    </w:p>
    <w:p>
      <w:r>
        <w:t>En définitive, le recours, manifestement mal fondé, doit être rejeté sans autre échange d’écritures (art. 390 al. 2 CPP) et l'ordonnance du 31 août 2015 confirmée. L’indemnité due au défenseur d'office du recourant sera fixée à 540 fr., plus la TVA, par 43 fr. 20, ce qui porte le montant alloué à 583 fr. 20. Les frais de la procédure de recours, constitués en l’espèce de l'émolument d'arrêt (art. 422 al. 1 CPP), par 660 fr. (art. 20 al. 1 TFIP  [tarif des frais de procédure et indemnités en matière pénale du 28 septembre 2010 ; RSV 312.03.1]), et des frais imputables à la défense d'office du recourant (art. 422 al. 1 et 2 let. a CPP), par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31 août 2015 est confirmée. III. L'indemnité allouée au défenseur d'office de S.________ est fixée à 583 fr. 20 (cinq cent huitante-trois francs et vingt centimes). IV. Les frais du présent arrêt, par 660 fr. (six cent soixante francs), ainsi que l'indemnité due au défenseur d'office de S.________ selon le chiffre III ci-dessus, sont mis à la charge de ce dernier. V. Le remboursement à l'Etat de l'indemnité allouée au chiffre III ci-dessus sera exigible pour autant que la situation de S.________ se soit améliorée. VI. Le présent arrêt est exécutoire. Le président :               La greffière : Du Le présent arrêt, dont la rédaction a été approuvée à huis clos, est notifié, par l'envoi d'une copie complète, à : - Mme Martine Dang, avocate (pour S.________), - Ministère public central, et communiqué à : - Mme la Procureure de l’arrondissement de Lausanne, - Mme la Présidente du Tribunal des mesures de contrainte,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