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666 vom 20. August 2015</w:t>
      </w:r>
    </w:p>
    <w:p>
      <w:r>
        <w:t>VD Tribunal cantonal, 2015-08-20, FR</w:t>
      </w:r>
    </w:p>
    <w:p>
      <w:r>
        <w:rPr>
          <w:b/>
        </w:rPr>
        <w:t xml:space="preserve">Quelle: </w:t>
      </w:r>
      <w:r>
        <w:t>https://mcp.opencaselaw.ch/entscheid/vd_findinfo_D_cision___2015___666</w:t>
      </w:r>
    </w:p>
    <w:p>
      <w:r>
        <w:t>FR: VD_FINDINFO Décision / 2015 / 666 du 20 août 2015</w:t>
      </w:r>
    </w:p>
    <w:p>
      <w:r>
        <w:t>IT: VD_FINDINFO Décision / 2015 / 666 del 20 agosto 2015</w:t>
      </w:r>
    </w:p>
    <w:p>
      <w:pPr>
        <w:pStyle w:val="Heading2"/>
      </w:pPr>
      <w:r>
        <w:t>Regeste</w:t>
      </w:r>
    </w:p>
    <w:p>
      <w:r>
        <w:t>OPPOSITION TARDIVE, ADRESSE, MODIFICATION{EN GÉNÉRAL} | 354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Le recourant fait valoir que l’ordonnance pénale rendue le 26 juin 2015 a été notifiée à l’adresse de son ancien employeur alors qu’il avait déjà pris sa retraite. Il précise qu’il est parti en vacances en Allemagne durant trois semaines et que ce n’est qu’à son retour, qu’il a pu prendre connaissance de l’ordonnance pénale que son ancien employeur lui avait fait parvenir entre-temps à son domicile. Il conclut que « 10 jours de plus, 10 jours de moins : je pense cependant que les faits exposés dans mon courrier du 27/07/2015 justifient une annulation de l’ordonnance ».</w:t>
      </w:r>
    </w:p>
    <w:p>
      <w:r>
        <w:rPr>
          <w:b/>
        </w:rPr>
        <w:t>E. 2.2</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Aux termes de l’art. 87 al. 2 CPP, les parties ou leur conseil qui ont leur domicile, leur résidence habituelle ou leur siège à l’étranger sont tenus de désigner un domicile de notification en Suisse ; les instruments internationaux prévoyant la possibilité de notification directe sont réservées. En matière pénale, les parties ont le droit de communiquer aux autorités une autre adresse de notification que celle de leur domicile, auquel cas, la notification doit intervenir à l'adresse donnée, sous peine d'être jugée irrégulière (ATF 139 IV 228 c. 1.2).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2.3</w:t>
      </w:r>
    </w:p>
    <w:p>
      <w:r>
        <w:t>En l'espèce, lors de son interpellation par les gendarmes le 28 avril 2015, le recourant a expressément désigné comme domicile de notification en Suisse l’adresse de son ancien employeur, à [...] (P. 5). Il résulte du dossier que l'ordonnance pénale rendue le 26 juin 2015 a été notifiée le 29 juin suivant à cette même adresse (P. 7). Le délai d'opposition de dix jours de l’art. 354 al. 1 CPP arrivait ainsi à échéance le 9 juillet 2015. Il appartenait au recourant – qui savait qu’il faisait l’objet d’une instruction pénale – de transmettre à l’autorité son adresse privée en France s’il le désirait (cf. art. 87 al. 2, 2 e phrase, CPP), de sorte qu’il doit supporter les conséquences de cette omission. C’est donc à juste titre que le Tribunal de police de l’arrondissement de la Broye et du Nord vaudois a déclaré irrecevable l’opposition formée le 27 juillet 2015 et postée le 28 juillet suivant, et a considéré que l’ordonnance pénale du 26 juin 2015 devait être assimilée à un jugement entré en force (art. 354 al. 3 CPP).</w:t>
      </w:r>
    </w:p>
    <w:p>
      <w:r>
        <w:rPr>
          <w:b/>
        </w:rPr>
        <w:t>E. 3</w:t>
      </w:r>
    </w:p>
    <w:p>
      <w:r>
        <w:t>En définitive, le recours, manifestement mal fondé, doit être rejeté sans autres échanges d’écritures (art. 390 al. 2 CPP) et le prononcé du 4 août 2015 confirmé.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4 août 2015 est confirmé. III. Les frais d’arrêt, par 550 fr. (cinq cent cinquante francs), sont mis à la charge du recourant. IV. Le présent arrêt est exécutoire. Le président :               La greffière : Du Le présent arrêt, dont la rédaction a été approuvée à huis clos, est notifié, par l'envoi d'une copie complète, à : - M. F.________, - Ministère public central, et communiqué à : ‑ Ministère public de l’arrondissement du Nord vaudois,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