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663 vom 17. August 2015</w:t>
      </w:r>
    </w:p>
    <w:p>
      <w:r>
        <w:t>VD Tribunal cantonal, 2015-08-17, FR</w:t>
      </w:r>
    </w:p>
    <w:p>
      <w:r>
        <w:rPr>
          <w:b/>
        </w:rPr>
        <w:t xml:space="preserve">Quelle: </w:t>
      </w:r>
      <w:r>
        <w:t>https://mcp.opencaselaw.ch/entscheid/vd_findinfo_D_cision___2015___663</w:t>
      </w:r>
    </w:p>
    <w:p>
      <w:r>
        <w:t>FR: VD_FINDINFO Décision / 2015 / 663 du 17 août 2015</w:t>
      </w:r>
    </w:p>
    <w:p>
      <w:r>
        <w:t>IT: VD_FINDINFO Décision / 2015 / 663 del 17 agosto 2015</w:t>
      </w:r>
    </w:p>
    <w:p>
      <w:pPr>
        <w:pStyle w:val="Heading2"/>
      </w:pPr>
      <w:r>
        <w:t>Regeste</w:t>
      </w:r>
    </w:p>
    <w:p>
      <w:r>
        <w:t>DÉCISION D'IRRECEVABILITÉ | 310 CPP (CH), 393 al. 1 let. a CPP (CH)</w:t>
      </w:r>
    </w:p>
    <w:p>
      <w:pPr>
        <w:pStyle w:val="Heading2"/>
      </w:pPr>
      <w:r>
        <w:t>Erwägungen</w:t>
      </w:r>
    </w:p>
    <w:p>
      <w:r>
        <w:rPr>
          <w:b/>
        </w:rPr>
        <w:t>E. 1</w:t>
      </w:r>
    </w:p>
    <w:p>
      <w:r>
        <w:t>let. b CPP), qui dans le canton de Vaud est la Chambre des recours pénale du Tribunal cantonal (art. 13 LVCPP [loi d’introduction du code de procédure pénale suisse; RSV 312.01]; art. 80 LOJV [loi d’organisation judiciaire; RSV 173.01]).</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w:t>
      </w:r>
    </w:p>
    <w:p>
      <w:r>
        <w:rPr>
          <w:b/>
        </w:rPr>
        <w:t>E. 1.2</w:t>
      </w:r>
    </w:p>
    <w:p>
      <w:r>
        <w:t>En l’espèce, le recours a été déposé dans le délai légal, auprès de l'autorité compétente. La question de savoir si B.________ dispose dans le cas particulier d'un intérêt juridiquement protégé à l'annulation ou à la modification de l'ordonnance attaquée (cf. CREP 19 mai 2014/347) peut rester ouverte, dès lors que son recours doit en tous les cas être rejeté.</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En l'espèce, le Procureur a considéré qu'il n'y avait pas lieu d'entrer en matière sur la plainte car il ressortait des documents produits par le plaignant et des pièces versées au dossier que le brevet et le prototype L.________ appartenait à la société G.________ Sàrl, et non au plaignant. D'ailleurs, ce dernier avait lui-même soutenu, par la signature du contrat de partenariat du 15 juin 2014, l'acquisition de cette technologie par une société à créer. Pour le surplus, le litige relevait uniquement des instances civiles, de sorte qu'il appartenait au plaignant de faire valoir ses droits devant l'autorité compétente.</w:t>
      </w:r>
    </w:p>
    <w:p>
      <w:r>
        <w:rPr>
          <w:b/>
        </w:rPr>
        <w:t>E. 2.3</w:t>
      </w:r>
    </w:p>
    <w:p>
      <w:r>
        <w:t>La décision du Procureur résiste à la critique. Il ressort en effet clairement des pièces du dossier que la technologie L.________ inventée par le recourant, et concrétisée par le prototype et le brevet, ne lui appartenait plus mais était la propriété de G.________ Sàrl, conformément à l'accord du 28 mars 2009, qui a précédé la fondation, le 18 mai 2009, de cette société (cf. P. 6/3). La technologie a ensuite été rachetée par H.________ Sàrl, dont les prévenus sont les associés gérants, ce qui était prévu par la convention du 15 juin 2014 signée par le plaignant lui-même. Dans ce contexte, B.________ ne saurait prétendre avoir été lésé directement par les agissements qu'il dénonce et, en tous les cas, il n'expose en quoi les prévenus auraient commis à cet égard une infraction pénale. Le litige relève le cas échéant de la justice civile, à laquelle il convient de renvoyer l'intéressé.</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par 550 fr. (art. 20 al. 1 TFIP [Tarif des frais de procédure et indemnités en matière pénale du 28 septembre 2010, RSV 312.03.1]), seront mis à la charge de Paulo Veiga, qui succombe (art. 428 al. 1 CPP). Le montant de 550 fr. déjà versé par le recourant à titre de sûretés (art. 383 al. 1 CPP) sera imputé sur les frais mis à sa charge (art. 7 TFIP). Par ces motifs, la Chambre des recours pénale prononce : I. Le recours est rejeté dans la mesure où il est recevable. II. L'ordonnance du 20 mai 2015 est confirmée. III. Les frais d’arrêt, par 550 fr. (cinq cent cinquante francs), sont mis à la charge de B.________. IV. Les frais mis à la charge du recourant au chiffre III ci-dessus sont compensés avec le montant de 550 fr. (cinq cent cinquante francs) déjà versé par celui-ci à titre de sûretés. V. Le présent arrêt est exécutoire. Le président :               La greffière : Du Le présent arrêt, dont la rédaction a été approuvée à huis clos, est notifié, par l'envoi d'une copie complète, à : - M.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