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662 vom 17. August 2015</w:t>
      </w:r>
    </w:p>
    <w:p>
      <w:r>
        <w:t>VD Tribunal cantonal, 2015-08-17, FR</w:t>
      </w:r>
    </w:p>
    <w:p>
      <w:r>
        <w:rPr>
          <w:b/>
        </w:rPr>
        <w:t xml:space="preserve">Quelle: </w:t>
      </w:r>
      <w:r>
        <w:t>https://mcp.opencaselaw.ch/entscheid/vd_findinfo_D_cision___2015___662</w:t>
      </w:r>
    </w:p>
    <w:p>
      <w:r>
        <w:t>FR: VD_FINDINFO Décision / 2015 / 662 du 17 août 2015</w:t>
      </w:r>
    </w:p>
    <w:p>
      <w:r>
        <w:t>IT: VD_FINDINFO Décision / 2015 / 662 del 17 agosto 2015</w:t>
      </w:r>
    </w:p>
    <w:p>
      <w:pPr>
        <w:pStyle w:val="Heading2"/>
      </w:pPr>
      <w:r>
        <w:t>Regeste</w:t>
      </w:r>
    </w:p>
    <w:p>
      <w:r>
        <w:t>DÉCISION D'IRRECEVABILITÉ | 310 CPP (CH), 393 al. 1 let. a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partie plaignante qui a qualité pour recourir (art. 382 al. 1 CPP), le recours déposé le 5 juin 2015 est recevable. Tel n'est en revanche pas le cas de l'écriture complémentaire déposée le 1 er juillet 2015, postérieurement à l'échéance du délai de recours. Il n'en sera donc pas tenu compte dans l'examen de la présente cause.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le Procureur a considéré que les griefs formulés par le plaignant à l'encontre de K.________ étaient infondés dès lors qu'il apparaissait que, contrairement à ses allégations, H.________ avait lui-même organisé la vente des brevets et du prototype à différents partenaires au Brésil (cf. P. 6). Quoi qu'il en soit, les éventuelles infractions à la LBI (loi fédérale du 25 juin 1954 sur les brevets d'invention, RS 232.14) qui auraient pu être reprochées à K.________ étaient prescrites puisque le délai pour déposer plainte se prescrivait par 6 mois à compter du jour où le lésé avait connu l'auteur de l'infraction (art. 81 al. 2 LBI). S'agissant enfin de salaires qui ne lui auraient pas été versés, il s'agissait d'un litige de nature civile, pour lequel il appartenait au plaignant de saisir le juge civil compétent.</w:t>
      </w:r>
    </w:p>
    <w:p>
      <w:r>
        <w:rPr>
          <w:b/>
        </w:rPr>
        <w:t>E. 2.3</w:t>
      </w:r>
    </w:p>
    <w:p>
      <w:r>
        <w:t>Le recourant qui, dans son mémoire, s'exprime de manière peu claire, ne démontre pas en quoi K.________ aurait commis une infraction pénale. Le litige est de nature essentiellement civile. En outre, la plupart des faits sont anciens et, comme le Ministère public l'a relevé, le délai de prescription de six mois prévu par l'art. 81 al. 2 LBI était échu le 25 mars 2015, jour du dépôt de la plainte. En tout cas, le recourant ne présente aucun indice permettant de supposer qu'il a connu l'auteur de l'infraction éventuelle postérieurement au 25 septembre 2014.</w:t>
      </w:r>
    </w:p>
    <w:p>
      <w:r>
        <w:rPr>
          <w:b/>
        </w:rPr>
        <w:t>E. 2.4</w:t>
      </w:r>
    </w:p>
    <w:p>
      <w:r>
        <w:t>Dans ces circonstances, c’est à juste titre que le Procureur a décidé de ne pas entrer en matière sur la plainte de H.________.</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RSV 312.03.1]), seront mis à la charge de H.________, qui succombe (art. 428 al. 1 CPP). Le montant de 550 fr. déjà versé par le recourant à titre de sûretés (art. 383 al. 1 CPP) sera imputé sur les frais mis à sa charge (art. 7 TFIP). Par ces motifs, la Chambre des recours pénale prononce : I. Le recours est rejeté. II. L'ordonnance du 20 mai 2015 est confirmée. III. Les frais d’arrêt, par 550 fr. (cinq cent cinquante francs), sont mis à la charge de H.________.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H.________, - Ministère public central, et communiqué à : ‑ M. le Procureur de l'arrondissement de l'Est vaudois, - Mme P.________, - M.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