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661 vom 3. September 2015</w:t>
      </w:r>
    </w:p>
    <w:p>
      <w:r>
        <w:t>VD Tribunal cantonal, 2015-09-03, FR</w:t>
      </w:r>
    </w:p>
    <w:p>
      <w:r>
        <w:rPr>
          <w:b/>
        </w:rPr>
        <w:t xml:space="preserve">Quelle: </w:t>
      </w:r>
      <w:r>
        <w:t>https://mcp.opencaselaw.ch/entscheid/vd_findinfo_D_cision___2015___661</w:t>
      </w:r>
    </w:p>
    <w:p>
      <w:r>
        <w:t>FR: VD_FINDINFO Décision / 2015 / 661 du 3 septembre 2015</w:t>
      </w:r>
    </w:p>
    <w:p>
      <w:r>
        <w:t>IT: VD_FINDINFO Décision / 2015 / 661 del 3 settembre 2015</w:t>
      </w:r>
    </w:p>
    <w:p>
      <w:pPr>
        <w:pStyle w:val="Heading2"/>
      </w:pPr>
      <w:r>
        <w:t>Regeste</w:t>
      </w:r>
    </w:p>
    <w:p>
      <w:r>
        <w:t>RECTIFICATION DE LA DÉCISION, AVOCAT | 83 CPP (CH)</w:t>
      </w:r>
    </w:p>
    <w:p>
      <w:pPr>
        <w:pStyle w:val="Heading2"/>
      </w:pPr>
      <w:r>
        <w:t>Volltext</w:t>
      </w:r>
    </w:p>
    <w:p>
      <w:r>
        <w:t>Vaud Tribunal cantonal Cour d'appel pénale 03.09.2015 Décision / 2015 / 661</w:t>
      </w:r>
    </w:p>
    <w:p>
      <w:r>
        <w:t>RECTIFICATION DE LA DÉCISION, AVOCAT | 83 CPP (CH)</w:t>
      </w:r>
    </w:p>
    <w:p>
      <w:r>
        <w:t>TRIBUNAL CANTONAL 586 AP15.008508-SDE CHAMBRE DES RECOURS PENALE __________________________________________ Arrêt du 3 septembre 2015 __________________ Composition :               M. A B R E C H T, président MM. Meylan et Maillard, juges Greffier :              M. Ritter ***** Art. 83 al. 1 CPP Statuant sur la demande de rectification de l’arrêt du 18 août 2015 (n° 551) présentée le 3 septembre 2015 par l'avocate E.________ dans la cause n° AP15.008508-SDE , la Chambre des recours pénale considère : En fait et en droit : 1. Par arrêt du 18 août 2015, la Cour de céans a rejeté le recours interjeté par [...], représenté par l’avocate E.________, contre l’ordonnance rendue le 31 juillet 2015 par la Juge d’application des peines lui refusant la libération conditionnelle (I), confirmé cette ordonnance (II), fixé à 486 fr. l’indemnité allouée à l’avocate, tenue pour le défenseur d’office du recourant (III), statué sur les frais d’arrêt, lesquels incluaient l’émolument d’arrêt, par 1’100 fr., et l’indemnité (IV), dit que le remboursement à l'Etat de l'indemnité allouée au chiffre III ci-dessus ne sera exigible que pour autant que la situation économique de [...] se soit améliorée (V) et déclaré l’arrêt exécutoire (VI). La cour est partie du principe que l’avocate E.________ agissait en qualité de défenseur d’office du condamné, celui-ci ayant été pourvu d’un tel défenseur dans un passé proche et étant notoirement insolvable. 2. Par appel téléphonique du 3 septembre 2015, l'avocate E.________ a indiqué avoir représenté le recourant en qualité de défenseur de choix et a demandé la rectification de l’arrêt à cet égard. Il convient de donner suite à cette demande, en application de l'art. 83 al. 1 CPP (cf. CREP 8 juin 2015/385; CREP 15 mars 2012/126; CREP 13 décembre 2011/544), et de modifier l’arrêt concerné aux chiffres III, IV et IV de son dispositif de manière à tenir compte du fait qu’aucune indemnité d’office ne doit être allouée. 3. Le présent arrêt rectificatif sera rendu sans frais. Par ces motifs, la Chambre des recours pénale prononce : I. La demande de rectification du 3 septembre 2015 est admise. II. L’arrêt du 18 août 2015 est modifié comme il suit aux chiffres III, IV et V de son dispositif : « III. (supprimé). IV. Les frais d’arrêt, par 1’100 fr. (mille cent francs), sont mis à la charge de [...] . V. (supprimé). » III. Le présent arrêt rectificatif, rendu sans frais, est exécutoire. Le président :               Le greffier : Du Le présent arrêt, dont la rédaction a été approuvée à huis clos, est notifié, par l'envoi d'une copie complète, à : - Mme E.________, avocate (pour [...]), - Ministère public central; et communiqué à : ‑ Mme la Juge d’application des peines, - Mme la Procureure de l’arrondissement de Lausanne, - Office d’exécution des peines (réf. : OEP/PPL/74399/VRI/BD), - Direction des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