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659 vom 21. August 2015</w:t>
      </w:r>
    </w:p>
    <w:p>
      <w:r>
        <w:t>VD Tribunal cantonal, 2015-08-21, FR</w:t>
      </w:r>
    </w:p>
    <w:p>
      <w:r>
        <w:rPr>
          <w:b/>
        </w:rPr>
        <w:t xml:space="preserve">Quelle: </w:t>
      </w:r>
      <w:r>
        <w:t>https://mcp.opencaselaw.ch/entscheid/vd_findinfo_D_cision___2015___659</w:t>
      </w:r>
    </w:p>
    <w:p>
      <w:r>
        <w:t>FR: VD_FINDINFO Décision / 2015 / 659 du 21 août 2015</w:t>
      </w:r>
    </w:p>
    <w:p>
      <w:r>
        <w:t>IT: VD_FINDINFO Décision / 2015 / 659 del 21 agosto 2015</w:t>
      </w:r>
    </w:p>
    <w:p>
      <w:pPr>
        <w:pStyle w:val="Heading2"/>
      </w:pPr>
      <w:r>
        <w:t>Regeste</w:t>
      </w:r>
    </w:p>
    <w:p>
      <w:r>
        <w:t>SÉQUESTRE{MESURE PROVISIONNELLE}, MOTIVATION DE LA DÉCISION | 263 CPP (CH)</w:t>
      </w:r>
    </w:p>
    <w:p>
      <w:pPr>
        <w:pStyle w:val="Heading2"/>
      </w:pPr>
      <w:r>
        <w:t>Erwägungen</w:t>
      </w:r>
    </w:p>
    <w:p>
      <w:r>
        <w:rPr>
          <w:b/>
        </w:rPr>
        <w:t>E. 1</w:t>
      </w:r>
    </w:p>
    <w:p>
      <w:r>
        <w:t>Interjeté en temps utile (art. 396 al. 1 CPP [Code de procédure pénale suisse du 5 octobre 2007 ; RS 312.0]) contre une ordonnance de séquestre du Ministère public (art. 263 al. 1 et 393 al. 1 let. a CPP), par le prévenu qui a qualité pour recourir (art. 382 al. 1 CPP) et dans les formes prescrites (art. 385 al. 1 CPP), le recours est recevable (CREP 17 juin 2013/370).</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Kuhn/Jeanneret [éd.], Commentaire romand, Code de procédure pénale suisse, Bâle 2011, n. 35 ad art. 263 CPP). En principe, le défaut de motivation conduit à l'annulation de l'ordonnance et au renvoi du dossier à l'autorité saisie de la cause pour nouvelle décision.</w:t>
      </w:r>
    </w:p>
    <w:p>
      <w:r>
        <w:rPr>
          <w:b/>
        </w:rPr>
        <w:t>E. 2.2</w:t>
      </w:r>
    </w:p>
    <w:p>
      <w:r>
        <w:t>En l’espèce, le Ministère public s’est contenté, pour toute motivation, de se référer dans l’ordonnance attaquée aux dispositions légales relatives au séquestre, à savoir l'art. 263 al. 1 let. a, c et d CPP, sans toutefois indiquer en quoi les conditions légales de ces cas de séquestre seraient réunies, si bien que l’on ne voit pas le lien entre ce qui est précisément reproché au recourant et les nombreux objets saisis. La seule référence à la norme légale, insuffisante sous l'angle des exigences de motivation de la décision (TF 1A.95/2002 du 16 juillet 2002 c. 3.3 ; CREP 10 décembre 2014/876 ; CREP 10 octobre 2014/744 ; CREP 18 juillet 2013/442), viole le droit d'être entendu du recourant et prive l’autorité de recours de la possibilité d’exercer correctement son contrôle. Quant aux explications données par le procureur dans ses déterminations du 17 août 2015, elles ne suffisent pas à réparer un vice d’ordre formel (cf. CREP 30 décembre 2013/790).</w:t>
      </w:r>
    </w:p>
    <w:p>
      <w:r>
        <w:rPr>
          <w:b/>
        </w:rPr>
        <w:t>E. 3</w:t>
      </w:r>
    </w:p>
    <w:p>
      <w:r>
        <w:t>Il résulte de ce qui précède que le recours doit être admis et l’ordonnance du 30 juillet 2015 annulée. Le dossier de la cause sera renvoyé au Procureur de l'arrondissement de l’Est vaudois afin qu'il rende une nouvelle décision motivée. Le séquestre sera maintenu jusqu'à droit connu sur la nouvelle décision du Ministère public (cf., entre autres, CREP 10 décembre 2014/876). Les frais de la procédure de recours, constitués du seul émolument d'arrêt, par 440 fr. (art. 20 al. 1 TFIP [tarif des frais de procédure et indemnités en matière pénal du 28 septembre 2010; RSV 312.03.1]), seront laissés à la charge de l’Etat (art. 428 al. 4 CPP). Par ces motifs, la Chambre des recours pénale prononce : I. Le recours est admis. II. L’ordonnance de séquestre du 30 juillet 2015 (séquestre n° 5042) est annulée. III. Le dossier de la cause est renvoyé au Procureur de l’arrondissement de l’Est vaudois pour qu’il rende une nouvelle décision dans le sens des considérants dans un délai de 15 jours dès la notification du présent arrêt. IV. Le séquestre est maintenu jusqu’à droit connu sur la décision à rendre par le Procureur de l’arrondissement de l’Est vaudois conformément au chiffre III ci-dessus, à la condition que cette décision intervienne dans le délai imparti. V. Les frais du présent arrêt, par 440 fr. (quatre cent quarante francs), sont laissés à la charge de l’Etat. VI. Le présent arrêt est exécutoire. Le président :               Le greffier : Du Erreur ! Signet non défini. () Le présent arrêt, dont la rédaction a été approuvée à huis clos, est notifié, par l'envoi d'une copie complète, à : - M. O.________,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