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658 vom 10. August 2015</w:t>
      </w:r>
    </w:p>
    <w:p>
      <w:r>
        <w:t>VD Tribunal cantonal, 2015-08-10, FR</w:t>
      </w:r>
    </w:p>
    <w:p>
      <w:r>
        <w:rPr>
          <w:b/>
        </w:rPr>
        <w:t xml:space="preserve">Quelle: </w:t>
      </w:r>
      <w:r>
        <w:t>https://mcp.opencaselaw.ch/entscheid/vd_findinfo_D_cision___2015___658</w:t>
      </w:r>
    </w:p>
    <w:p>
      <w:r>
        <w:t>FR: VD_FINDINFO Décision / 2015 / 658 du 10 août 2015</w:t>
      </w:r>
    </w:p>
    <w:p>
      <w:r>
        <w:t>IT: VD_FINDINFO Décision / 2015 / 658 del 10 agosto 2015</w:t>
      </w:r>
    </w:p>
    <w:p>
      <w:pPr>
        <w:pStyle w:val="Heading2"/>
      </w:pPr>
      <w:r>
        <w:t>Regeste</w:t>
      </w:r>
    </w:p>
    <w:p>
      <w:r>
        <w:t>RÉCUSATION, DEMANDE ADRESSÉE À L'AUTORITÉ | 56 CPP (CH),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requérant à l’encontre du Procureur [...] (art. 13 de la loi d’introduction du code de procédure pénale suisse [LVCPP];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En particulier,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(ou le procureur) est prévenu ou justifient à tout le moins objectivement l'apparence de prévention. D’autre part,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 2.3; cf. aussi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Enfin, un refus d'administrer une preuve n'emporte pas davantage prévention en défaveur d’une partie (ATF 116 Ia 135; Verniory, in : Kuhn/Jeanneret, Commentaire romand, Code de procédure pénale suisse, Bâle 2011, n. 35 ad art. 56 CPP).</w:t>
      </w:r>
    </w:p>
    <w:p>
      <w:r>
        <w:rPr>
          <w:b/>
        </w:rPr>
        <w:t>E. 2.2</w:t>
      </w:r>
    </w:p>
    <w:p>
      <w:r>
        <w:t>En l'espèce, les requérants font état d’une « partialité » qu’ils imputent à la juge [...] (s’agissant des actes de procédure antérieurs au 1 er janvier 2011) et au procureur [...]. Même dans leur mémoire ampliatif spontané, ils ne démontrent aucun indice de prévention en leur défaveur, perceptible de manière objective et concrète. Au contraire, ils s’en prennent aux décisions prises par ces magistrats, dont seul le second est en cause en l’état de la procédure. Cependant, la récusation ne saurait être un moyen de contester les décisions de nature juridictionnelle, seules les voies de droit devant être utilisées pour ce faire. Dès lors, même si des décisions, singulièrement l’ordonnance de classement du 26 février 2013, n’ont pas été approuvées par l’autorité supérieure, soit la Chambre de céans, cela ne suffit pas à fonder un motif de récusation, puisque seules des erreurs particulièrement lourdes ou répétées, constituant des violations graves de ses devoirs par le magistrat, peuvent justifier le soupçon de parti pris (ATF 138 IV 142   c. 2.3, précité, et les autres arrêts cités au c. 2.1 ci-dessus). Or, la procédure dont la réouverture est demandée ne comporte aucune erreur semblable. Bien plutôt, le Procureur s’est conformé aux instructions figurant dans l’arrêt rendu le 27 mai 2013 par la Chambre des recours pénale; d’ailleurs, le classement ordonné au vu du dossier ainsi complété a ultérieurement été confirmé par l’autorité de recours (CREP 18 août 2014/561). Il n’y a dès lors ni prévention, ni même apparence de prévention, qui pourrait donner lieu à récusation.</w:t>
      </w:r>
    </w:p>
    <w:p>
      <w:r>
        <w:rPr>
          <w:b/>
        </w:rPr>
        <w:t>E. 3</w:t>
      </w:r>
    </w:p>
    <w:p>
      <w:r>
        <w:t>En définitive, la demande de récusation présentée le 17 juin 2015 par B.X.________ et A.X.________ à l’encontre du Procureur [...] doit être rejetée. Les frais de procédure, constitués en l’espèce du seul émolument de décision, par 770 fr. (art. 20 al. 1 TFIP [Tarif des frais de procédure et indemnités en matière pénale du 28 septembre 2010; RSV 312.03.1]), seront mis à la charge des requérants, dont la demande est rejetée (art. 59 al. 4, seconde phrase, CPP), à parts égales et solidairement entre eux (art. 418 al. 1 et 2 CPP). Par ces motifs, la Chambre des recours pénale prononce : I. La demande de récusation présentée le 17 juin 2015 par B.X.________ et A.X.________ à l’encontre du Procureur [...] est rejetée. II. Les frais de la présente décision, par 770 fr. (sept cent septante francs), sont mis à la charge de B.X.________ et A.X.________, à parts égales et solidairement entre eux. III. La présente décision est exécutoire. Le président :               Le greffier : Du La décision qui précède, dont la rédaction a été approuvée à huis clos, est notifiée, par l'envoi d'une copie complète, à : - M. B.X.________, - Mme A.X.________,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