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657 vom 2. September 2015</w:t>
      </w:r>
    </w:p>
    <w:p>
      <w:r>
        <w:t>VD Tribunal cantonal, 2015-09-02, FR</w:t>
      </w:r>
    </w:p>
    <w:p>
      <w:r>
        <w:rPr>
          <w:b/>
        </w:rPr>
        <w:t xml:space="preserve">Quelle: </w:t>
      </w:r>
      <w:r>
        <w:t>https://mcp.opencaselaw.ch/entscheid/vd_findinfo_D_cision___2015___657</w:t>
      </w:r>
    </w:p>
    <w:p>
      <w:r>
        <w:t>FR: VD_FINDINFO Décision / 2015 / 657 du 2 septembre 2015</w:t>
      </w:r>
    </w:p>
    <w:p>
      <w:r>
        <w:t>IT: VD_FINDINFO Décision / 2015 / 657 del 2 settembre 2015</w:t>
      </w:r>
    </w:p>
    <w:p>
      <w:pPr>
        <w:pStyle w:val="Heading2"/>
      </w:pPr>
      <w:r>
        <w:t>Regeste</w:t>
      </w:r>
    </w:p>
    <w:p>
      <w:r>
        <w:t>RISQUE DE RÉCIDIVE, DÉTENTION PROVISOIRE |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compte tenu des éléments au dossier, en particulier des aveux de la recourante, il existe une présomption suffisamment sérieuse de culpabilité à son encontre, ce que cette dernière ne conteste d’ailleurs pas.</w:t>
      </w:r>
    </w:p>
    <w:p>
      <w:r>
        <w:rPr>
          <w:b/>
        </w:rPr>
        <w:t>E. 3.1</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 4.5 ; TF 1B_731/2011 du 16 janvier 2012 c. 3.1).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w:t>
      </w:r>
    </w:p>
    <w:p>
      <w:r>
        <w:rPr>
          <w:b/>
        </w:rPr>
        <w:t>E. 3.2</w:t>
      </w:r>
    </w:p>
    <w:p>
      <w:r>
        <w:t>En l’espèce, les faits reprochés sont très graves. La recourante a à tout le moins pris le risque de défigurer définitivement la victime et de lui faire perdre l’usage de la vue. Son acte était clairement prémédité et préparé si l’on se fie aux recherches qu’elle a effectuées sur Internet depuis le 12 juillet 2015 et à l’achat de matériel effectué le 25 juillet 2015 (cf. requête du Ministère public du 12 août 2015 et les pièces produites). On peut admettre en outre, au vu des ses recherches, qu’elle était parfaitement au courant des conséquences possibles de son acte. Enfin, comme l’a relevé à juste titre la Procureure, l’ampleur des préparatifs dénote chez la recourante une personnalité de type obsessionnel. La sécurité publique devant prévaloir, force est dès lors d’admettre que le risque de récidive est réalisé et s'oppose à la levée de la détention provisoire de la prévenue. En outre, une expertise psychiatrique va être ordonnée par la Procureure. Il est ainsi indispensable d’attendre les premières conclusions des experts qui permettront d'évaluer plus précisément le risque de récidive et la dangerosité de la recourante. Enfin, aucune mesure de substitution n’est à même, en l’état, de prévenir le risque retenu. En particulier le placement en foyer ainsi que l’interdiction d’approcher la victime ne sont pas de nature à parer efficacement au risque de récidive. Le maintien de H.________ en détention provisoire est ainsi justifié.</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H.________ est détenue depuis le 5 août 2015, soit depuis presque un mois. Compte tenu des actes qui lui sont reprochés, la recourante s'expose à une peine privative de liberté d’une durée supérieure à celle de la détention provisoire subie à ce jour. Au vu de ces éléments, le principe de la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770 fr. (art. 20 al. 1 [tarif des frais judiciaires de procédure et indemnités en matière pénale du 28 septembre 2010; RSV 312.03.1]) et des frais imputables à la défense d’office (art. 422 al. 1 et 2 let. a CPP), fixés à 530 fr., plus la TVA par 42 fr. 40, soit un total de 572 fr. 40, seront mis à la charge de H.________,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19 août 2015 est confirmée. III. L'indemnité allouée au défenseur d'office de H.________ est fixée à 572 fr. 40 (cinq cent septante-deux francs et quarante centimes). IV. Les frais du présent arrêt, par 770 fr. (sept cent septante francs), ainsi que l’indemnité due au défenseur d’office de H.________, par 572 fr. 40 (cinq cent septante-deux francs et quarante centimes), sont mis à la charge de cette dernière. V. Le remboursement à l'Etat de l'indemnité allouée au chiffre III ci-dessus sera exigible pour autant que la situation économique de H.________ se soit améliorée. VI. Le présent arrêt est exécutoire. Le président :               La greffière : Du Le présent arrêt, dont la rédaction a été approuvée à huis clos, est notifié, par l'envoi d'une copie complète, à : - M. Arnaud Thièry, avocat (pour H.________), - Ministère public central, et communiqué à : ‑ M. W.________,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