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 vom 23. Dezember 2014</w:t>
      </w:r>
    </w:p>
    <w:p>
      <w:r>
        <w:t>VD Tribunal cantonal, 2014-12-23, FR</w:t>
      </w:r>
    </w:p>
    <w:p>
      <w:r>
        <w:rPr>
          <w:b/>
        </w:rPr>
        <w:t xml:space="preserve">Quelle: </w:t>
      </w:r>
      <w:r>
        <w:t>https://mcp.opencaselaw.ch/entscheid/vd_findinfo_D_cision___2015___65</w:t>
      </w:r>
    </w:p>
    <w:p>
      <w:r>
        <w:t>FR: VD_FINDINFO Décision / 2015 / 65 du 23 décembre 2014</w:t>
      </w:r>
    </w:p>
    <w:p>
      <w:r>
        <w:t>IT: VD_FINDINFO Décision / 2015 / 65 del 23 dicembre 2014</w:t>
      </w:r>
    </w:p>
    <w:p>
      <w:pPr>
        <w:pStyle w:val="Heading2"/>
      </w:pPr>
      <w:r>
        <w:t>Regeste</w:t>
      </w:r>
    </w:p>
    <w:p>
      <w:r>
        <w:t>CLASSEMENT DE LA PROCÉDURE, CALOMNIE, CONTRAINTE{DROIT PÉNAL} | 174 CP, 181 CP, 310 CPP (CH), 393 al. 1 let. a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Cette disposition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Code pénal, Petit commentaire, 2012, n. 4 ad rem. prél. aux art. 173 à 178 CP, p. 1014, et la doctrine citée). Si l'allégation litigieuse ne porte atteinte qu'à la considération dont jouit le lésé dans sa profession ou ses affaires, il n'est pas visé par les art. 173 ss CP (ATF 115 IV 44 c.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précité). 4.2 En l’espèce, le fait pour A.________ d’avoir critiqué les soins apportés à son chat par le recourant et les honoraires de ce dernier ne constitue pas une atteinte à l'honneur. En effet, la prénommée, qui n’est pas vétérinaire, s’est fait expliquer par un spécialiste que son chat, qui avait dû être euthanasié, n’avait pas été bien soigné et que la facture établie pour ses prétendus mauvais soins était trop élevée. Dans ce contexte, qui explique la colère de l’intéressée, celle-ci a écrit un courrier au recourant pour se plaindre de ses qualités professionnelles et de ses tarifs. Certes, les allégations litigieuses laissent penser que le recourant est une personne incompétente, profiteuse, voire trompeuse. Toutefois, le cadre dans lequel cette accusation est formulée vise avant tout l'activité professionnelle du recourant. En effet, les reproches précités ne portent atteinte qu'à la considération dont il jouit dans sa profession. Ils ne tombent donc pas sous le coup de l’art. 174 CP. Au vu de ce qui précède, le recours doit être rejeté sur ce point.</w:t>
      </w:r>
    </w:p>
    <w:p>
      <w:r>
        <w:rPr>
          <w:b/>
        </w:rPr>
        <w:t>E. 5.1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 Sur le plan subjectif, il faut que l’auteur ait agi avec conscience et volonté, soit au moins qu’il ait accepté l’éventualité que le procédé illicite employé entrave le destinataire dans sa liberté de décision (ATF 120 IV 17 c. 2c ; TF 6B_38/2011 du 26 avril 2011 c. 2.2.1).</w:t>
      </w:r>
    </w:p>
    <w:p>
      <w:r>
        <w:rPr>
          <w:b/>
        </w:rPr>
        <w:t>E. 5.2</w:t>
      </w:r>
    </w:p>
    <w:p>
      <w:r>
        <w:t>En l’espèce, comme déjà mentionné ci-dessus (cf. c. 4.2), A.________ a agi en se basant sur l’avis d’une vétérinaire, qui a estimé que les soins donnés au chat par le recourant n’étaient pas adéquats et que la facture établie par ce dernier était trop élevée. Dans ces conditions, la prénommée avait des motifs valables de vouloir se plaindre de cette facture auprès du recourant et de lui expliquer, certes en termes vifs, qu’elle n’était pas d’accord de la payer pas plus que les éventuels frais de rappel. Ainsi, toute intention dolosive peut d’emblée être écartée, de sorte que l'élément subjectif nécessaire à la réalisation de l’infraction précitée n’est pas réalisé, le litige étant d’ordre purement civil. Le recours doit donc également être rejeté sur ce point.</w:t>
      </w:r>
    </w:p>
    <w:p>
      <w:r>
        <w:rPr>
          <w:b/>
        </w:rPr>
        <w:t>E. 6</w:t>
      </w:r>
    </w:p>
    <w:p>
      <w:r>
        <w:t>Il résulte de ce qui précède que le recours doit être rejeté et l’ordonnance du 29 octobre 2014 confirmée. Les frais de la procédure de recours, constitués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29 octobre 2014 est confirmée. III. Les frais de la procédure de recours, par 770 fr. (sept cent septante francs), sont mis à la charge de Q.________. IV. Le présent arrêt est exécutoire. Le président :               La greffière : Du Le présent arrêt, dont la rédaction a été approuvée à huis clos, est notifié, par l'envoi d'une copie complète, à : - Mme Yvonne Furler, avocate (pour 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