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649 vom 28. August 2015</w:t>
      </w:r>
    </w:p>
    <w:p>
      <w:r>
        <w:t>VD Tribunal cantonal, 2015-08-28, FR</w:t>
      </w:r>
    </w:p>
    <w:p>
      <w:r>
        <w:rPr>
          <w:b/>
        </w:rPr>
        <w:t xml:space="preserve">Quelle: </w:t>
      </w:r>
      <w:r>
        <w:t>https://mcp.opencaselaw.ch/entscheid/vd_findinfo_D_cision___2015___649</w:t>
      </w:r>
    </w:p>
    <w:p>
      <w:r>
        <w:t>FR: VD_FINDINFO Décision / 2015 / 649 du 28 août 2015</w:t>
      </w:r>
    </w:p>
    <w:p>
      <w:r>
        <w:t>IT: VD_FINDINFO Décision / 2015 / 649 del 28 agosto 2015</w:t>
      </w:r>
    </w:p>
    <w:p>
      <w:pPr>
        <w:pStyle w:val="Heading2"/>
      </w:pPr>
      <w:r>
        <w:t>Regeste</w:t>
      </w:r>
    </w:p>
    <w:p>
      <w:r>
        <w:t>EXPERTISE, EXPERTISE MÉDICALE, SUREXPERTISE | 394 let. b CPP (CH)</w:t>
      </w:r>
    </w:p>
    <w:p>
      <w:pPr>
        <w:pStyle w:val="Heading2"/>
      </w:pPr>
      <w:r>
        <w:t>Erwägungen</w:t>
      </w:r>
    </w:p>
    <w:p>
      <w:r>
        <w:rPr>
          <w:b/>
        </w:rPr>
        <w:t>E. 1.1</w:t>
      </w:r>
    </w:p>
    <w:p>
      <w:r>
        <w:t>La décision attaquée, rendue avec l’avis de prochaine clôture adressé aux parties, figurait sur la formule ad hoc de cet avis. Le recours porte toutefois uniquement sur le refus de toute expertise complémentaire, plus précisément sur la renonciation du Procureur à mettre en œuvre l’expertise complémentaire qu’il avait initialement ordonnée à la requête des recourants, présentée le 7 juin 2013 (P. 56 p. 34) et renouvelée le 3 juillet 2013 (P. 58). Indépendamment de son intitulé, une telle décision est assimilable à un rejet de réquisition de preuve.</w:t>
      </w:r>
    </w:p>
    <w:p>
      <w:r>
        <w:rPr>
          <w:b/>
        </w:rPr>
        <w:t>E. 1.2</w:t>
      </w:r>
    </w:p>
    <w:p>
      <w:r>
        <w:t>Une décision du Ministère public d’administrer ou de refuser d’administrer une preuve au sens des art. 139 ss CPP peut en principe faire l’objet d’un recours selon les art. 393 ss CPP (Keller, in : Donatsch/Hansjakob/Lieber [éd.], Kommentar zur Schweizerischen Strafprozessordnung, 2 e éd., 2014, n. 16 ad art. 393 CPP; CREP 5 décembre 2013/733 c. 1.1; CREP 20 février 2015/145; CREP 18 octobre 2012/651; CREP 22 août 2012/485; CREP 3 août 2012/470). Toutefois, l'art. 394 let. b CPP précise que le recours est irrecevable lorsque le Ministère public, notamment,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Ia 437 c. 1; TF 1B_189/2012 du 17 août 2012, in SJ 2012 I 89, c. 1.2; TF 1B_688/2011 du 14 mars 2012). Cette règle comporte toutefois des exceptions, notamment lorsque le refus porte sur des moyens de preuve qui risquent de disparaître et qui visent des faits décisifs non encore élucidés (ATF 133 IV 335 c. 4; ATF 101 Ia 161; ATF 98 Ib 282 c. 4; TF 1B_189/2012 du 17 août 2012, in SJ 2012 I 89 c. 1.2; TF 1B_688/2011 du 14 mars 2012 et les références citées).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juridique évoqué à l’art. 394 let. b CPP ne se différencie pas du préjudice irréparable visé à l’art. 93 al. 1 let. a LTF, qui s’entend, en droit pénal, d’un dommage juridique à l’exclusion d’un dommage de pur fait tel l’allongement ou le renchérissement de la procédure (TF 1B_189/2012 du 17 août 2012, in SJ 2012 I 89, c. 2.1 et la référence citée). La doctrine évoque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(cf. Maurer, in : Goldschmid/ Maurer/Sollberger, Kommentierte Textausgabe zur Schweizerischen Strafprozess-ordnung, 2008, p. 388; Schmid, Praxiskommentar, 2009, n. 3 ad art. 394 CPP; Rémy, in : Kuhn/Jeanneret [éd.], Commentaire romand, Code de procédure pénale suisse, 2011, n.</w:t>
      </w:r>
    </w:p>
    <w:p>
      <w:r>
        <w:rPr>
          <w:b/>
        </w:rPr>
        <w:t>E. 1.3</w:t>
      </w:r>
    </w:p>
    <w:p>
      <w:r>
        <w:t>En l’espèce, les recourants ne soutiennent pas qu’ils seraient exposés à un préjudice irréparable à défaut de nouvelle expertise. A juste titre. En effet, on ne se trouve pas dans le cas de figure, réservé par la jurisprudence, du risque de disparition d’un moyen de preuve, précisément pour le motif que toute expertise ne pourra être pratiquée que sur pièces, à savoir sur la base des avis médicaux déjà recueillis au dossier. Dès lors, les prévenus pourront sans préjudice renouveler leur requête d’administration de preuve devant l’autorité de jugement de première instance (art. 318 al. 2, 3 e phrase, CPP; art. 331 al. 2 CPP), puis, le cas échéant, se plaindre d’un nouveau refus devant l’autorité d’appel (art. 399 al. 3 let. c CPP). 2. Il résulte de ce qui précède que le recours est irrecevable. Il n’y a par conséquent pas lieu d’entrer en matière sur les arguments soulevés par les recourants. Les frais de la procédure de recours, constitués en l’espèce du seul émolument d'arrêt, par 660 fr. (art. 20 al. 1 TFIP [Tarif des frais de procédure et indemnités en matière pénale du 28 septembre 2010; RSV 312.03.1]), seront mis à la charge des recourants, qui succombent (art. 428 al. 1 CPP), à parts égales et solidairement entre eux (art. 418 al. 1 et 2 CPP). Par ces motifs, la Chambre des recours pénale prononce : I. Le recours est irrecevable. II. Les frais du présent arrêt, par 660 fr. (six cent soixante francs), sont mis à la charge de J.________ et M.________, à parts égales et solidairement entre eux. III. Le présent arrêt est exécutoire. Le président : Le greffier : Du Le présent arrêt, dont la rédaction a été approuvée à huis clos, est notifié, par l'envoi d'une copie complète, à : - M. Charles Joye, avocat (pour J.________ et M.________), - M. Marcel Bersier, avocat (pour [...] et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ad art. 394 CPP, p. 1762; Keller, Kommentar zur Schweizerischen Strafprozessordnung, 2010, n. 3 ad art. 394 CPP; Stephenson/ Thiriet, in : Niggli/ Heer/Wiprächtiger [éd.], Basler Kommentar, Schweizerische Strafprozessordnung, Jugendstrafprozessordnung, Art. 196-457 StPO – Art. 1-54 JStPO, 2 e éd., 2014, n. 6 ad art. 394 CPP; Pieth, Schweizerisches Strafprozessrecht: Grundriss für Studium und Praxis, 2009, p. 230; CREP 18 octobre 2012/651; CREP 22 août 2012/485). Pour qu’une dérogation à l’irrecevabilité du recours contre un refus de procéder à des actes d’instruction entre en considération, les moyens de preuve invoqués doivent porter sur des faits pertinents; même si cette condition ne ressort pas expressément du texte de l’art. 394 let. b CPP, elle découle de l’art. 139 al. 2 CPP (TF 1B_189/2012 du 17 août 2012, in : SJ 2012 I 89, c. 2.1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