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642 vom 7. August 2015</w:t>
      </w:r>
    </w:p>
    <w:p>
      <w:r>
        <w:t>VD Tribunal cantonal, 2015-08-07, FR</w:t>
      </w:r>
    </w:p>
    <w:p>
      <w:r>
        <w:rPr>
          <w:b/>
        </w:rPr>
        <w:t xml:space="preserve">Quelle: </w:t>
      </w:r>
      <w:r>
        <w:t>https://mcp.opencaselaw.ch/entscheid/vd_findinfo_D_cision___2015___642</w:t>
      </w:r>
    </w:p>
    <w:p>
      <w:r>
        <w:t>FR: VD_FINDINFO Décision / 2015 / 642 du 7 août 2015</w:t>
      </w:r>
    </w:p>
    <w:p>
      <w:r>
        <w:t>IT: VD_FINDINFO Décision / 2015 / 642 del 7 agosto 2015</w:t>
      </w:r>
    </w:p>
    <w:p>
      <w:pPr>
        <w:pStyle w:val="Heading2"/>
      </w:pPr>
      <w:r>
        <w:t>Regeste</w:t>
      </w:r>
    </w:p>
    <w:p>
      <w:r>
        <w:t>DIFFAMATION, ADMISSION DE LA DEMANDE, CALOMNIE, DÉCISION D'IRRECEVABILITÉ | 173 CP, 174 CP, 310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2.2</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Code pénal, Petit commentaire, 2012, n. 4 ad rem. prél. aux art. 173 à 178 CP, p. 1014, et la doctrine citée). Une allégation litigieuse ne portant atteinte qu'à la considération dont jouit le lésé dans sa profession ou ses affaires, ne tombe donc pas sous le coup des art. 173 ss CP (ATF 115 IV 44 c. 1, JT 1990 IV 107). L’honneur professionnel n’est pas protégé par les dispositions du Code pénal réprimant les atteintes à l’honneur (ATF 119 IV 47 c. 2a ; ATF 105 IV 111 c. 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précité). L’affirmation d’un fait attentatoire à l’honneur n’est pas le seul acte réprimé par l’art. 173 CP. En effet, jeter le soupçon sur autrui (ATF 119 IV 44 c. 2a) ainsi que propager une accusation ou un tel soupçon sur un tiers constituent également des comportements punissables en vertu de l’art. 173 CP (Dupuis et alii, op. cit., n. 11 ad art. 173 CP et la jurisprudence citée). Toute personne morale jouit, de la même façon qu’une personne physique, du droit à l’honneur (Corboz, Les infractions en droit suisse, vol. I, 3 e éd., Berne 2010, n. 26 ad. art. 173 CP). Il faut toutefois que l’on perçoive une attaque contre la personne morale en tant que telle, et non pas seulement contre des individus qui agissent pour elle. L’attaque doit en principe se rapporter à l’activité sociale, qui constitue, selon la formulation de l’art. 173 ch. 1 al. 1 CP, la « conduite » de la personne morale. La personne morale est atteinte dans son honneur soit lorsqu’on suggère qu’elle a une activité sociale méprisable, soit lorsqu’on la dénigre elle-même, en évoquant le comportement méprisable de ses organes ou de ses employés (même s’il n’entre pas dans le but social) (Corboz, op. cit., n. 28 ad art. 173 CP).</w:t>
      </w:r>
    </w:p>
    <w:p>
      <w:r>
        <w:rPr>
          <w:b/>
        </w:rPr>
        <w:t>E. 2.3</w:t>
      </w:r>
    </w:p>
    <w:p>
      <w:r>
        <w:t>En l’espèce, la F.________ est une personne morale. Elle peut ainsi se prévaloir d’une atteinte à l’honneur dès lors que c’est bien l’activité sociale – et médicale – de celle-ci qui est en cause. Si l’honneur professionnel n’est pas protégé par le droit pénal, c’est dans le sens d’une attaque contre les qualités professionnelles de la victime. En revanche, des accusations de comportement pénalement répréhensible, soit en l’espèce les accusations d’escroquerie, sont attentatoires à l’honneur. Or en l’espèce, J.________ a notamment écrit dans sa lettre du 20 avril 2015 (P. 6/2) : « […] les habitudes de la clinique qui arnaque ses clients avec des couronnes et des implants fabriqués en Chine », « le patients sont informés que leurs couronnés sont fabriques en Italie, Portugal ou pire en Corée, mais qu’on réalité sont fabrique à bon marché en Chine » et « je croix qu’il s’agit d’un mélange d’escroquerie et d’incompétence ». Ces propos sont suffisants pour ouvrir une instruction pénale pour diffamation contre J.________. Que cette dernière prétende rapporter les propos de X.________ – qu’il conteste au demeurant avoir tenus – n’est pas déterminant. Si elle les propage, ne serait-ce qu’auprès du prénommé lui-même, qui a la qualité de tiers, elle se rend coupable d’atteinte à l’honneur, sauf preuve libératoire (art. 173 al. 2 CP).</w:t>
      </w:r>
    </w:p>
    <w:p>
      <w:r>
        <w:rPr>
          <w:b/>
        </w:rPr>
        <w:t>E. 2.4</w:t>
      </w:r>
    </w:p>
    <w:p>
      <w:r>
        <w:t>Dans ces circonstances, c’est à tort que le Procureur a d’emblée considéré qu’une condamnation pénale de J.________ était clairement exclue.</w:t>
      </w:r>
    </w:p>
    <w:p>
      <w:r>
        <w:rPr>
          <w:b/>
        </w:rPr>
        <w:t>E. 3</w:t>
      </w:r>
    </w:p>
    <w:p>
      <w:r>
        <w:t>Le recours doit donc être admis, l’ordonnance attaquée annulée et le dossier de la cause renvoyé au Ministère public de l’arrondissement de Lausanne pour qu’il ouvre une instruction pénale et procède à l’administration des preuves au sens de l’art. 311 CPP. La recourante obtenant gain de cause, les frais d'arrêt, par 660 fr. (art. 20 al. 1 TFIP [Tarif des frais de procédure et indemnités en matière pénale du 28 septembre 2010; RSV 312.03.1]), seront laissés à la charge de l'Etat (art. 423 al. 1 CPP ). Par ces motifs, la Chambre des recours pénale prononce : I. Le recours est admis. II. L’ordonnance du 18 mai 2015 est annulée. III. Le dossier de la cause est renvoyé au Procureur de l’arrondissement de Lausanne pour qu’il procède dans le sens des considérants. IV. Les frais d’arrêt, par 660 fr. (six cent soixante francs), sont laissés à la charge de l’Etat. V. Le présent arrêt est exécutoire. Le président :               La greffière : Du Le présent arrêt, dont la rédaction a été approuvée à huis clos, est notifié, par l'envoi d'une copie complète, à : - F.________, - Ministère public central, et communiqué à : - M. le Procureur de l’arrondissement de Lausanne,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