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639 vom 26. August 2015</w:t>
      </w:r>
    </w:p>
    <w:p>
      <w:r>
        <w:t>VD Tribunal cantonal, 2015-08-26, FR</w:t>
      </w:r>
    </w:p>
    <w:p>
      <w:r>
        <w:rPr>
          <w:b/>
        </w:rPr>
        <w:t xml:space="preserve">Quelle: </w:t>
      </w:r>
      <w:r>
        <w:t>https://mcp.opencaselaw.ch/entscheid/vd_findinfo_D_cision___2015___639</w:t>
      </w:r>
    </w:p>
    <w:p>
      <w:r>
        <w:t>FR: VD_FINDINFO Décision / 2015 / 639 du 26 août 2015</w:t>
      </w:r>
    </w:p>
    <w:p>
      <w:r>
        <w:t>IT: VD_FINDINFO Décision / 2015 / 639 del 26 agosto 2015</w:t>
      </w:r>
    </w:p>
    <w:p>
      <w:pPr>
        <w:pStyle w:val="Heading2"/>
      </w:pPr>
      <w:r>
        <w:t>Regeste</w:t>
      </w:r>
    </w:p>
    <w:p>
      <w:r>
        <w:t>RELIEF, DÉFAUT{CONTUMACE} | 368 al. 1 CPP (CH), 368 al. 3 CPP (CH), 369 al. 1 CPP (CH)</w:t>
      </w:r>
    </w:p>
    <w:p>
      <w:pPr>
        <w:pStyle w:val="Heading2"/>
      </w:pPr>
      <w:r>
        <w:t>Erwägungen</w:t>
      </w:r>
    </w:p>
    <w:p>
      <w:r>
        <w:rPr>
          <w:b/>
        </w:rPr>
        <w:t>E. 1</w:t>
      </w:r>
    </w:p>
    <w:p>
      <w:r>
        <w:t>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 Heer/Wiprächtiger [éd.], Basler Kommentar, Schweizerische Strafprozessordnung, Jugendstrafprozessordnung, Art. 196-457 StPO – Art. 1-54 JStPO, 2 e éd., Bâle 2014, n. 16 ad art. 368 CPP; CREP 17 août 2012/496).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Si le jugement rendu par défaut peut être notifié personnellement au condamné, celui-ci doit être informé sur son droit de demander un nouveau jugement au tribunal dans les dix jours, par écrit ou oralement (art. 368 al. 1 CPP). Selon la doctrine majoritaire, il découle de la lettre de la norme ci-dessus que le délai de dix jours pour demander un nouveau jugement ne commence à courir qu’à compter de la date à laquelle le jugement a été notifié au condamné personnellement : une notification à l’avocat du condamné absent ou par publication dans la feuille des avis officiels ne suffit pas (Thalmann, op. cit., n. 3 ad art. 368 CPP et la réf. au Message du Conseil fédéral; Maurer, op. cit., n. 3 ad art. 368 CPP; Schmidt, Schweizerische Strafprozessordnung, Praxiskommentar, 2 e éd., Zürich/Saint-Gall 2013, n. 2 ad art. 368 CPP; Summers, in : Donatsch/Hansjakob/ Lieber [éd.], Kommentar zur Schweizerischen Strafprozessordnung, 2 e éd., Zurich/Bâle 2014, n. 2 ad art. 368 CPP; cf. aussi CAPE 6 mai 2015/188 = JT 2015 III 145).</w:t>
      </w:r>
    </w:p>
    <w:p>
      <w:r>
        <w:rPr>
          <w:b/>
        </w:rPr>
        <w:t>E. 2.2</w:t>
      </w:r>
    </w:p>
    <w:p>
      <w:r>
        <w:t>En l’espèce, le dossier ne renferme pas d’éléments permettant de considérer que le jugement rendu par défaut aurait été communiqué au recourant personnellement avant son passage au greffe le 30 juillet 2015 (pièce 14 annexée au recours). Le délai de l’art. 368 al. 1 CPP n’a donc pas pu commencer à courir avant cette date. Le fait que le recourant, alors représenté par feu l’avocat Jean-Pierre Moser, ait déposé une demande de nouveau jugement, déclarée irrecevable, avant même que ce délai n’ait commencé à courir ne fait pas davantage obstacle à la demande formulée le 31 juillet 2015. Déposée dans les formes requises et dans le délai de l’art. 368 al. 1 CPP, cette demande était dès lors recevable. Le tribunal de police aurait donc dû entrer en matière. Ce qui précède n’implique pas pour autant que le dossier de la cause doive lui être retourné à cette fin, comme on le verra ci-dessous.</w:t>
      </w:r>
    </w:p>
    <w:p>
      <w:r>
        <w:rPr>
          <w:b/>
        </w:rPr>
        <w:t>E. 2.3</w:t>
      </w:r>
    </w:p>
    <w:p>
      <w:r>
        <w:t>Selon l’art. 369 al. 1 CPP, s’il apparaît vraisemblable que les conditions permettant de rendre un nouveau jugement sont réunies, la direction de la procédure fixe de nouveaux débats; lors de ceux-ci, le tribunal statue sur la demande du condamné et rend, le cas échéant, un nouveau jugement. Il découle donc de la lettre de la loi qu’il n’est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(CREP 5 juillet 2012/388 c. 2c et les réf. citées). Il faut donc, pour cela, pouvoir d’emblée conclure à une absence fautive du recourant aux débats.</w:t>
      </w:r>
    </w:p>
    <w:p>
      <w:r>
        <w:rPr>
          <w:b/>
        </w:rPr>
        <w:t>E. 2.4</w:t>
      </w:r>
    </w:p>
    <w:p>
      <w:r>
        <w:t>La demande doit être brièvement motivée, que ce soit par écrit ou par oral, afin de permettre au tribunal de statuer. Aucune autre exigence qu’un bref exposé des raisons qui ont empêché le prévenu de participer aux débats ne peut être exigée (Moreillon/Parein-Reymond, Petit commentaire, Code de procédure pénale, Bâle 2013, n. 11 ad art. 368 CPP). Le condamné par défaut doit alléguer, dans les formes et les délais prescrits, les faits qui l’ont empêché de se présenter (Thalmann, op. cit., n. 16 ad art. 368 CPP; TF 1P.1/2006 du 10 février 2006 c. 2.2; ATF 126 I 36 c. 1b).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pp. 1057 ss, spéc. 1286). L’absence est valablement excusée non seulement en cas de force majeure (impossibilité objective de comparaître), mais également en cas d’impossibilité subjective, due à des circonstances personnelles ou à une erreur non imputable au défaillant (ATF 127 I 213 c. 3a; ATF 126 I 36 c. lb; TF 1P.829/2005 du 1 er mai 2006, in: SJ 2006 I 450 c.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w:t>
      </w:r>
    </w:p>
    <w:p>
      <w:r>
        <w:rPr>
          <w:b/>
        </w:rPr>
        <w:t>E. 2.5</w:t>
      </w:r>
    </w:p>
    <w:p>
      <w:r>
        <w:t>En l’espèce, ainsi que le souligne le tribunal de police dans son prononcé du 25 avril 2013, le recourant fait flèche de tout bois. Il a en effet été entendu par le juge instruction le 16 novembre 2010 (PV aud. 2). Il a alors communiqué une adresse au juge, hors procès-verbal, et donné l’assurance que le nécessaire serait fait pour que son courrier soit gardé. Il a par ailleurs été informé qu’il ne pourrait se prévaloir du fait qu’il n’aurait pas été valablement atteint. Cette adresse, ainsi que celle qu’il a donnée par la suite à la police, figurant en particulier dans le formulaire de renseignements généraux établi le 4 mai 2011 (P. 11 du premier dossier vert), n’a pas permis aux autorités et à son défenseur d’alors de l’atteindre (voir notamment le formulaire de recherche du lieu de séjour sous P. 24 du dossier principal, ainsi que les différents courriers de feu l’avocat Jean-Pierre Moser indiquant qu’il était sans nouvelles de son client d’office). Il s’est par ailleurs visiblement totalement désintéressé de la procédure alors pendante en négligeant de s’enquérir de son état d’avancement ou, à tout le moins, de communiquer une adresse de notification valable en Suisse voire même à l’étranger, sans doute dans l’espoir d’échapper à la répression pénale. Il n’a invoqué aucun empêchement majeur. Ce faisant, il a provoqué la nécessité de le citer à comparaître par publication dans la FAO (voir, à ce sujet, TF 6B_860/2013 du</w:t>
      </w:r>
    </w:p>
    <w:p>
      <w:r>
        <w:rPr>
          <w:b/>
        </w:rPr>
        <w:t>E. 7</w:t>
      </w:r>
    </w:p>
    <w:p>
      <w:r>
        <w:t>mars 2014 c. 4.1.1). On doit donc considérer que le recourant a fait défaut aux débats sans excuse valable au sens de l’art. 368 al. 3 CPP. Partant, sa demande de nouveau jugement du 31 juillet 2015 aurait dû être rejetée sans fixation de nouveaux débats plutôt que déclarée irrecevable. 3. Le prononcé d’irrecevabilité ayant, dans les faits, les mêmes effets que le rejet, le recours doit être rejeté sans autres échanges d’écritures (art. 390 al. 2 CPP). En vertu de l’effet dévolutif du recours, il y a toutefois lieu de réformer d’office le prononcé en ce sens que la demande de nouveau jugement adressée le 31 juillet 2015 par L.________ est rejetée.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chiffre II du dispositif du prononcé du 3 août 2015 est réformé d’office en ce sens que la demande de nouveau jugement adressée le 31 juillet 2015 par L.________ est rejetée. III. Les frais d’arrêt, par 770 fr. (sept cent septante francs), sont mis à la charge du recourant. IV. Le présent arrêt est exécutoire. Le président :               Le greffier : Du Le présent arrêt, dont la rédaction a été approuvée à huis clos, est notifié, par l'envoi d'une copie complète, à : - M. Bertrand Gygax, avocat (pour L.________), - Ministère public central, et communiqué à : ‑ M. le Président du Tribunal de police de l’arrondissement de Lausanne,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