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636 vom 25. August 2015</w:t>
      </w:r>
    </w:p>
    <w:p>
      <w:r>
        <w:t>VD Tribunal cantonal, 2015-08-25, FR</w:t>
      </w:r>
    </w:p>
    <w:p>
      <w:r>
        <w:rPr>
          <w:b/>
        </w:rPr>
        <w:t xml:space="preserve">Quelle: </w:t>
      </w:r>
      <w:r>
        <w:t>https://mcp.opencaselaw.ch/entscheid/vd_findinfo_D_cision___2015___636</w:t>
      </w:r>
    </w:p>
    <w:p>
      <w:r>
        <w:t>FR: VD_FINDINFO Décision / 2015 / 636 du 25 août 2015</w:t>
      </w:r>
    </w:p>
    <w:p>
      <w:r>
        <w:t>IT: VD_FINDINFO Décision / 2015 / 636 del 25 agosto 2015</w:t>
      </w:r>
    </w:p>
    <w:p>
      <w:pPr>
        <w:pStyle w:val="Heading2"/>
      </w:pPr>
      <w:r>
        <w:t>Regeste</w:t>
      </w:r>
    </w:p>
    <w:p>
      <w:r>
        <w:t>NON-LIEU | 310 CPP (CH)</w:t>
      </w:r>
    </w:p>
    <w:p>
      <w:pPr>
        <w:pStyle w:val="Heading2"/>
      </w:pPr>
      <w:r>
        <w:t>Erwägungen</w:t>
      </w:r>
    </w:p>
    <w:p>
      <w:r>
        <w:rPr>
          <w:b/>
        </w:rPr>
        <w:t>E. 1</w:t>
      </w:r>
    </w:p>
    <w:p>
      <w:r>
        <w:t>Approuvée par le Procureur général le 1 er juin 2015, l’ordonnance attaquée a été adressée au plaignant en courrier B par pli du 4 juin 2015, reçu le lundi 8 juin suivant selon l’allégué crédible de la partie. Interjeté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et répondant aux formes prescrites (art. 385 al. 1 CPP), le recours est recevable.</w:t>
      </w:r>
    </w:p>
    <w:p>
      <w:r>
        <w:rPr>
          <w:b/>
        </w:rPr>
        <w:t>E. 2.1</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s'il ressort de la dénonciation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2.2</w:t>
      </w:r>
    </w:p>
    <w:p>
      <w:r>
        <w:t>Avant la reddition d'une ordonnance de non-entrée en matière, respectivement avant l'ouverture formelle d'une instruction, le Ministère public peut ouvrir une enquête préliminaire, qui est limitée aux investigations de la police (art. 300 al. 1 et 306 s. CPP; TF 1B_67/2012 du 29 mai 2012 c. 2.1 et 2.2 et la réf. cit.). Cette procédure préliminaire ne doit cependant pas dépasser le stade de l'investigation policière (arrêt précité, c. 2.2; CREP 9 juin 2015/387; CREP 22 mai 2013/381 c. 2b).</w:t>
      </w:r>
    </w:p>
    <w:p>
      <w:r>
        <w:rPr>
          <w:b/>
        </w:rPr>
        <w:t>E. 2.3</w:t>
      </w:r>
    </w:p>
    <w:p>
      <w:r>
        <w:t>A teneur de l’art. 41 LPrD (loi du 11 septembre 2007 sur la protection des données personnelles; RSV 172.65), toute personne ayant révélé intentionnellement, d’une manière illicite, des données personnelles ou sensibles qui ont été portées à sa connaissance dans l’exercice de sa fonction, sera punie d'une amende (al. 1); est passible de la même peine la personne ayant révélé intentionnellement, d’une manière illicite, des données personnelles ou sensibles portées à sa connaissance dans le cadre des activités qu’elle exerce pour le compte de personnes soumises à l’obligation de garder le secret (al. 2). Le droit pénal fédéral est réservé (al. 3). L’art. 35 al. 1 et 2 LPD (loi fédérale du 19 juin 1992 sur la protection des données; RS 235.1) a une teneur analogue à celle de l’art. 41 al. 1 et 2 LPrD.</w:t>
      </w:r>
    </w:p>
    <w:p>
      <w:r>
        <w:rPr>
          <w:b/>
        </w:rPr>
        <w:t>E. 3.1</w:t>
      </w:r>
    </w:p>
    <w:p>
      <w:r>
        <w:t>En l’espèce, il est établi qu’en dépit de la volonté de confidentialité du recourant, dûment exprimée à l’égard des autorités administratives compétentes par son titulaire, la nouvelle adresse du plaignant est parvenue à la connaissance d’au moins une tierce personne, à savoir [...], auteur du courriel incriminé mentionnant ce lieu de domicile. Au vu de ce fait, on ne saurait exclure toute infraction pénale, relevant du droit cantonal seulement ou du droit fédéral également. La procureure en convient du reste dans ses déterminations du 19 août 2015, même si elle considère qu’aucun élément de l’enquête ne permet de contester la version des faits des deux personnes appelées à donner des renseignements. Cela étant, la question déterminante est celle de savoir si l’on peut considérer en l’état déjà, donc sans autre mesure d’instruction, que les faits déterminants ne peuvent pas être établis plus avant.</w:t>
      </w:r>
    </w:p>
    <w:p>
      <w:r>
        <w:rPr>
          <w:b/>
        </w:rPr>
        <w:t>E. 3.2</w:t>
      </w:r>
    </w:p>
    <w:p>
      <w:r>
        <w:t>Agissant par délégation conférée à la police, la procureure a diligenté des mesures d’instruction relativement approfondies. Compte tenu de ce qui suit, point n’est besoin de déterminer si, compte tenu des mesures d’investigation accomplies, il lui incombait d’ouvrir formellement une instruction (art. 309 CPP) et, si elle entendait classer la procédure, de rendre une ordonnance de classement      (art. 319 CPP), qui supposait un avis préalable de prochaine clôture (art. 318 al. 1 CPP).</w:t>
      </w:r>
    </w:p>
    <w:p>
      <w:r>
        <w:rPr>
          <w:b/>
        </w:rPr>
        <w:t>E. 3.3</w:t>
      </w:r>
    </w:p>
    <w:p>
      <w:r>
        <w:t>En effet, si les auditions ont permis d’établir des faits susceptibles d’être déterminants, il n’en reste pas moins que plusieurs éléments demeurent incertains. En particulier, la déposition de [...] selon laquelle il n’avait plus accès au fichier cantonal IAM depuis 2010, mais en avait conservé l’accès jusqu’en 2014 sans pour autant avoir utilisé ce registre dans le cas particulier, justifie de plus amples mesures d’investigation. Elle doit en effet être étayée, respectivement précisée ou infirmée, par l’interpellation du service compétent de l’Etat afin de déterminer si l’intéressé était titulaire de l’accès au fichier lors des faits incriminés, s’il s’est connecté audit fichier le cas échéant et, si cela est techniquement possible, à quelle date et sur quelles données. De même, la description donnée par [...] des circonstances dans lesquelles il aurait eu connaissance de la nouvelle adresse du plaignant semble quelque peu insolite au regard du double concours de circonstances rapporté. En outre, cette déposition pourrait être en contradiction avec un autre élément du dossier, à savoir le rôle éventuel de la tante de l’intéressé. [...] a en effet reconnu avoir demandé à sa tante, laquelle travaillait au contrôle des habitants d’[...], de lui fournir la nouvelle adresse du plaignant, avant de se heurter à un refus de sa part. Il ressort de cette déposition que la personne en question, dont l’existence était connue de la police et qui réside en Suisse, serait en mesure d’apporter des éléments à l’enquête. Il pourrait donc s’avérer utile de l’entendre quant à son rôle éventuel dans les faits incriminés, respectivement quant aux actes de tiers dont elle aurait connaissance.</w:t>
      </w:r>
    </w:p>
    <w:p>
      <w:r>
        <w:rPr>
          <w:b/>
        </w:rPr>
        <w:t>E. 3.4</w:t>
      </w:r>
    </w:p>
    <w:p>
      <w:r>
        <w:t>Il résulte de ce qui précède que les mesures d’instruction initiales doivent être complétées. A cet égard, la procureure soulève, dans ses déterminations, des arguments déduits de l’économie de la procédure et du peu de gravité des infractions éventuelles (soit, implicitement, de l’inopportunité des poursuites). Ces motifs ne sont pas déterminants à ce stade de l’enquête sous l’angle du principe de la légalité des poursuites pénales. Il y a dès lors matière à ouverture d’une instruction afin qu’il soit, en particulier, procédé aux mesures d’instruction mentionnées ci-dessus.</w:t>
      </w:r>
    </w:p>
    <w:p>
      <w:r>
        <w:rPr>
          <w:b/>
        </w:rPr>
        <w:t>E. 4</w:t>
      </w:r>
    </w:p>
    <w:p>
      <w:r>
        <w:t>En définitive, le recours doit être admis et l’ordonnance de non-entrée en matière annulée. Le dossier de la cause sera renvoyé au Ministère public de l'arrondissement du Nord vaudois pour qu’il procède dans le sens des considérants. Le recourant obtenant gain de cause, les frais de la procédure de recours, constitués de l’émolument d'arrêt (art. 422 al. 1 CPP), par 770 fr. (art. 20   al. 1 TFIP [Tarif des frais de procédure et indemnités en matière pénale du 28 septembre 2010; RSV 312.03.1]), seront laissés à la charge de l’Etat (art. 428 al. 4 CPP).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prononce : I. Le recours est admis. II. L’ordonnance du 27 mai 2015 est annulée. III. Le dossier de la cause est renvoyé au Ministère public de l'arrondissement du Nord vaudois pour qu’il procède dans le sens des considérants. IV. Les frais du présent arrêt, par 770 fr. (sept cent septante francs), sont laissés à la charge de l’Etat. V. Le présent arrêt est exécutoire. Le président :               Le greffier : Du Le présent arrêt, dont la rédaction a été approuvée à huis clos, est notifié, par l'envoi d'une copie complète, à : - M. Yann Jaillet, avocat (pour K.________),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