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63 vom 7. Oktober 2014</w:t>
      </w:r>
    </w:p>
    <w:p>
      <w:r>
        <w:t>VD Tribunal cantonal, 2014-10-07, FR</w:t>
      </w:r>
    </w:p>
    <w:p>
      <w:r>
        <w:rPr>
          <w:b/>
        </w:rPr>
        <w:t xml:space="preserve">Quelle: </w:t>
      </w:r>
      <w:r>
        <w:t>https://mcp.opencaselaw.ch/entscheid/vd_findinfo_D_cision___2015___63</w:t>
      </w:r>
    </w:p>
    <w:p>
      <w:r>
        <w:t>FR: VD_FINDINFO Décision / 2015 / 63 du 7 octobre 2014</w:t>
      </w:r>
    </w:p>
    <w:p>
      <w:r>
        <w:t>IT: VD_FINDINFO Décision / 2015 / 63 del 7 ottobre 2014</w:t>
      </w:r>
    </w:p>
    <w:p>
      <w:pPr>
        <w:pStyle w:val="Heading2"/>
      </w:pPr>
      <w:r>
        <w:t>Regeste</w:t>
      </w:r>
    </w:p>
    <w:p>
      <w:r>
        <w:t>DÉTENTION POUR DES MOTIFS DE SÛRETÉ, RISQUE DE RÉCIDIVE | 221 al. 1 let. c CPP (CH), 233 CPP (CH)</w:t>
      </w:r>
    </w:p>
    <w:p>
      <w:pPr>
        <w:pStyle w:val="Heading2"/>
      </w:pPr>
      <w:r>
        <w:t>Erwägungen</w:t>
      </w:r>
    </w:p>
    <w:p>
      <w:r>
        <w:rPr>
          <w:b/>
        </w:rPr>
        <w:t>E. 1</w:t>
      </w:r>
    </w:p>
    <w:p>
      <w:r>
        <w:t>Aux termes de l'art. 233 CPP (Code de procédure pénale suisse du 5 octobre 2007, RS 312.0), la direction de la procédure de la juridiction d'appel statue dans les cinq jours sur les demandes de libération et sa décision n'est pas sujette à recours. Cette disposition garantit que le prévenu (acquitté ou condamné en première instance) puisse requérir en tout temps sa mise en liberté puisque la demande peut même être formulée auprès de la juridiction d'appel (Logos, in: Commentaire romand, Code de procédure pénale suisse, Bâle 2011, n. 5 ad art. 233 CPP; Moreillon/Parein-Reymond, Petit commentaire du CPP, Bâle 2013, n. 4 ad. art. 233). Déposée à la suite de l'annonce d'appel, la requête de H.________ est recevable.</w:t>
      </w:r>
    </w:p>
    <w:p>
      <w:r>
        <w:rPr>
          <w:b/>
        </w:rPr>
        <w:t>E. 2.1</w:t>
      </w:r>
    </w:p>
    <w:p>
      <w:r>
        <w:t>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Le juge peut maintenir la détention préventive aussi longtemps qu'elle n'est pas très proche de la durée de la peine privative de liberté à laquelle il faut s'attendre concrètement en cas de condamnation (ATF 133 I 168 c. 4.1 p. 170 et les références). Il convient d'accorder une attention particulière à cette limite, car le juge de l'action pénale pourrait être enclin à prendre en considération dans la fixation de la peine la durée de la détention préventive à imputer selon l'art. 51 CP (ATF 133 I 168 c. 4.1 p. 170 et les arrêts cités). Lorsque le détenu a déjà été jugé en première instance, ce prononcé constitue un indice important quant à la peine susceptible de devoir être finalement exécutée (TF 1B_43/2013 du 1 er mars 2013 c. 4.1 et les références citées). Selon la jurisprudence, le juge de la détention - afin d'éviter qu'il n'empiète sur les compétences du juge du fond - ne tient pas compte de la possibilité éventuelle de l'octroi d'un sursis par l'autorité de jugement (ATF 133 I 270 c. 3.4.3 p. 282) ou d'une libération conditionnelle (ATF 124 I 208 c. 6 p. 215).</w:t>
      </w:r>
    </w:p>
    <w:p>
      <w:r>
        <w:rPr>
          <w:b/>
        </w:rPr>
        <w:t>E. 2.2</w:t>
      </w:r>
    </w:p>
    <w:p>
      <w:r>
        <w:t>En l'occurrence, le Tribunal criminel de l'arrondissement de La Broye et du Nord vaudois a condamné H.________ pour l'essentiel des infractions qui lui étaient reprochées, qualifiant au demeurant sa culpabilité d'extrêmement lourde, l'intéressé étant incapable d'introspection et persistant à se croire victime de l'injustice des autorités, des fonctionnaires ou de ses relations d'affaires pour justifier ses actes. H.________ a d'ailleurs admis une partie des faits retenus à sa charge. Il existe donc des soupçons suffisants au sens de l'art. 221 CPP.</w:t>
      </w:r>
    </w:p>
    <w:p>
      <w:r>
        <w:rPr>
          <w:b/>
        </w:rPr>
        <w:t>E. 2.3</w:t>
      </w:r>
    </w:p>
    <w:p>
      <w:r>
        <w:t>En l'espèce, le tribunal criminel a maintenu H.________ en détention pour des motifs de sûreté, en raison du risque de réitération.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op. cit.,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l'occurrence, l'appréciation portée par les premiers juges sur ce point est pertinente et doit être confirmée : le risque de réitération est concret au vu des antécédents de H.________, du diagnostic psychiatrique résultant de l'expertise à laquelle a été soumise le prévenu – laquelle a conclu à l'existence d'un risque de récidive élevé pour des infractions concernant le droit des personnes, de la circulation routière, dans le cadre de son activité professionnelle, ou encore de la protection de l'environnement (cf. P. 63, ch. 3. 2) – et des échecs des sursis précédemment accordés, de sorte que le maintien en détention de H.________ se justifie. Aucune mesure de substitution (art. 237 CPP) ne présente en l'état de garanties suffisantes pour pallier le risque de réitération, étant au demeurant précisé que l'on doit se montrer particulièrement exigeant lorsque, comme en l'espèce, la sécurité publique est en jeu. La détention provisoire étant justifiée par le risque de réitération, il n'est pas nécessaire de trancher la question de l'existence du risque de fuite évoqué par le procureur. En effet, les conditions fixées à l'art. 221 al. 1 let. a à c CPP sont des conditions alternatives et, partant, la réalisation d'une seule cause suffit (TF 1B_249/2011 du</w:t>
      </w:r>
    </w:p>
    <w:p>
      <w:r>
        <w:rPr>
          <w:b/>
        </w:rPr>
        <w:t>E. 2.4</w:t>
      </w:r>
    </w:p>
    <w:p>
      <w:r>
        <w:t>La détention provisoire doit encore être conforme au principe de la proportionnalité (art. 212 al. 3 CPP), dont le respect doit être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En l’espèce, compte tenu des infractions faisant l'objet de l'instruction, les quelque quinze mois de détention subis à ce jour par H.________ demeurent proportionnés à la peine concrètement encourue en cas de condamnation. Quoi qu'il en soit, la détention provisoire infligée au vu des faits admis (violences) ne sera vraisemblablement pas réduite au point d'atteindre une quotité inférieure à la durée de la privation de liberté déjà subie (ATF 139 IV 270). Il y a lieu de relever à cet égard que H.________ sera très prochainement fixé sur l'issue de la procédure, dès lors que les débats d'appel sont d'ores et déjà fixés au 19 février 2015. 3. En définitive, le maintien en détention de H.________ pour des motifs de sûreté se justifie et sa requête tendant à sa mise en liberté doit être rejetée. Il sera statué sur les frais de la présente décision à l'issue de la cause au fond.</w:t>
      </w:r>
    </w:p>
    <w:p>
      <w:r>
        <w:rPr>
          <w:b/>
        </w:rPr>
        <w:t>E. 7</w:t>
      </w:r>
    </w:p>
    <w:p>
      <w:r>
        <w:t>juin 2011 c.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