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624 vom 12. August 2015</w:t>
      </w:r>
    </w:p>
    <w:p>
      <w:r>
        <w:t>VD Tribunal cantonal, 2015-08-12, FR</w:t>
      </w:r>
    </w:p>
    <w:p>
      <w:r>
        <w:rPr>
          <w:b/>
        </w:rPr>
        <w:t xml:space="preserve">Quelle: </w:t>
      </w:r>
      <w:r>
        <w:t>https://mcp.opencaselaw.ch/entscheid/vd_findinfo_D_cision___2015___624</w:t>
      </w:r>
    </w:p>
    <w:p>
      <w:r>
        <w:t>FR: VD_FINDINFO Décision / 2015 / 624 du 12 août 2015</w:t>
      </w:r>
    </w:p>
    <w:p>
      <w:r>
        <w:t>IT: VD_FINDINFO Décision / 2015 / 624 del 12 agosto 2015</w:t>
      </w:r>
    </w:p>
    <w:p>
      <w:pPr>
        <w:pStyle w:val="Heading2"/>
      </w:pPr>
      <w:r>
        <w:t>Regeste</w:t>
      </w:r>
    </w:p>
    <w:p>
      <w:r>
        <w:t>DÉCISION D'IRRECEVABILITÉ, DÉLAI | 319 CPP (CH), 91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Le recours doit être remis au plus tard le dernier jour du délai à l’autorité pénale, à la Poste suisse, à une représentation consulaire ou diplomatique suisse ou, s’agissant de personnes détenues, à la direction de l’établissement carcéral (art. 91 al. 2 CPP). Le délai est réputé observé si l’écrit parvient au plus tard le dernier jour du délai à une autorité suisse non compétente (91 al. 4 CPP). Le recourant doit déposer son recours dans le délai, sous peine d’irrecevabilité de son acte (Calame, op. cit., n.</w:t>
      </w:r>
    </w:p>
    <w:p>
      <w:r>
        <w:rPr>
          <w:b/>
        </w:rPr>
        <w:t>E. 1.3</w:t>
      </w:r>
    </w:p>
    <w:p>
      <w:r>
        <w:t>En l’espèce, l’ordonnance attaquée a été notifiée à la curatrice de F.________ le 7 avril 2015. Ce dernier a interjeté recours le 3 juillet 2015, soit presque trois mois plus tard. Force est de constater que son recours est manifestement tardif. F.________ reconnaît par ailleurs lui-même qu’il n’a pas agi dans les délais qui lui avaient été impartis. Il ne fait en outre valoir aucun motif de restitution de délai valable au sens de l’art. 94 CPP : se sachant partie à une procédure qu’il avait lui-même initiée, il lui appartenait de prendre les dispositions qui s’imposaient s’agissant de son courrier lors de ses séjours à l’étranger. 2. Il s’ensuit que le recours, manifestement irrecevable, doit être écarté sans autre échange d’écritures (art. 390 al. 2 CPP).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Ces frais seront compensés avec le montant de 550 fr. déjà versé par celui-ci à titre de sûretés (art. 7 TFIP). Par ces motifs, la Chambre des recours pénale prononce : I. Le recours est irrecevable. II. Les frais d’arrêt, par 550 fr. (cinq cent cinquante francs), sont mis à la charge de F.________. III. Les frais mis à la charge du recourant au chiffre II ci-dessus sont compensés avec le montant de 550 fr. (cinq cent cinquante francs) déjà versé par celui-ci à titre de sûretés. IV. Le présent arrêt est exécutoire. Le président :               La greffière : Du Le présent arrêt, dont la rédaction a été approuvée à huis clos, est notifié, par l'envoi d'une copie complète, à : - M.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ad art. 384 CPP). Aux termes de l’art. 94 CPP, une partie peut demander la restitution du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