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62 vom 16. Dezember 2014</w:t>
      </w:r>
    </w:p>
    <w:p>
      <w:r>
        <w:t>VD Tribunal cantonal, 2014-12-16, FR</w:t>
      </w:r>
    </w:p>
    <w:p>
      <w:r>
        <w:rPr>
          <w:b/>
        </w:rPr>
        <w:t xml:space="preserve">Quelle: </w:t>
      </w:r>
      <w:r>
        <w:t>https://mcp.opencaselaw.ch/entscheid/vd_findinfo_D_cision___2015___62</w:t>
      </w:r>
    </w:p>
    <w:p>
      <w:r>
        <w:t>FR: VD_FINDINFO Décision / 2015 / 62 du 16 décembre 2014</w:t>
      </w:r>
    </w:p>
    <w:p>
      <w:r>
        <w:t>IT: VD_FINDINFO Décision / 2015 / 62 del 16 dicembre 2014</w:t>
      </w:r>
    </w:p>
    <w:p>
      <w:pPr>
        <w:pStyle w:val="Heading2"/>
      </w:pPr>
      <w:r>
        <w:t>Regeste</w:t>
      </w:r>
    </w:p>
    <w:p>
      <w:r>
        <w:t>CLASSEMENT DE LA PROCÉDURE, ENQUÊTE PÉNALE | 319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Lorsque l’instruction a permis d’établir qu’une infraction a été commise, le Ministère public rend une ordonnance de classement au motif que l’identité de l’auteur de l’infraction n’a pas été découverte que si aucun autre acte d’enquête ne paraît pouvoir amener des éléments qui pourraient déboucher sur la mise en accusation d’une personne déterminée (cf. TF 1B_67/2012 du 29 mai 2012, c. 3.2, s’agissant d’une ordonnance de non-entrée en matière).</w:t>
      </w:r>
    </w:p>
    <w:p>
      <w:r>
        <w:rPr>
          <w:b/>
        </w:rPr>
        <w:t>E. 2.2</w:t>
      </w:r>
    </w:p>
    <w:p>
      <w:r>
        <w:t>En l’espèce, comme le relève à juste titre le recourant, des mesures d'instruction complémentaires auraient dû être mises en œuvre. En effet, il convient d’examiner si les transactions litigieuses effectuées le soir du 30 juillet 2012 au sein des établissements F.________ et Y.________ n’étaient pas fictives, soit si le ticket de caisse n'a pas été émis sans contre-prestation. Il ressort en effet du rapport d’investigation de la police du 20 mars 2014 que le chiffre d’achat mensuel moyen du F.________ est de 3'900 fr., alors que la recette du 30 juillet 2012 a atteint plus de 3'000 francs (cf. P. 17). De même, le chiffre d’achat mensuel moyen d’Y.________ a été établi à 4'333 fr. 65, alors que le soir en question le chiffre d’affaire s’est élevé à 4'200 fr. 60 (ibid.). Ces constatations constituent des indices suffisants pour envisager une éventuelle fraude. Dans ces circonstances, un examen de la comptabilité de ces commerces, en particulier un examen du stock, tel que sollicité par le recourant, se justifie. Si l’examen de la comptabilité conforte les indices relevés, la réaudition des témoins A.G.________, B.G.________ et S.________ devra être envisagée. Dans le cas contraire, il conviendra de considérer, à l’instar du Ministère public, que ces auditions n’apporteront rien de plus à l’enquête plus de deux et demi après les faits. La démarche consistant à identifier l'adresse IP de l'utilisateur du site internet « [...]» le 31 juillet 2012 a déjà été effectuée par la police, sans succès (P. 8 et P. 17). Dès lors, la ou les personnes ayant utilisé la carte de crédit du recourant ne pourront être identifiées par ce biais. Enfin, des recherches supplémentaires devront être entreprises afin de retrouver L.________, celui-ci ayant secondé S.________ au restaurant Y.________ le soir des faits. W.________, chez qui L.________ a été domicilié, devra également être auditionnée. Elle pourrait en effet fournir des indications utiles afin de retrouver ce dernier.</w:t>
      </w:r>
    </w:p>
    <w:p>
      <w:r>
        <w:rPr>
          <w:b/>
        </w:rPr>
        <w:t>E. 3</w:t>
      </w:r>
    </w:p>
    <w:p>
      <w:r>
        <w:t>En définitive, le recours doit être admis, l'ordonnance de classement annulée et le dossier de la cause renvoyé au Ministère public pour qu'il procède dans le sens des considérants. Les frais de la procédure de recours, constitués du seul émolument d'arrêt, par 550 fr. (art. 20 al. 1 TFIP [Tarif des frais de procédure et indemnités en matière pénale du 28 septembre 2010, RSV 312.03.1]), seront laissés à la charge de l’Etat (art. 428 al. 4 CPP). Par ces motifs, la Chambre des recours pénale prononce : I. Le recours est admis. II. L'ordonnance du 12 septembre 2014 est annulée. III. Le dossier de la cause est renvoyé au Ministère public de l'arrondissement de l’Est vaudois pour qu’il procède dans le sens des considérants. IV. Les frais d'arrêt, par 550 fr. (cinq cent cinquante francs), sont laissés à la charge de l’Etat. V. Le présent arrêt est exécutoire. Le président :               La greffière : Du Le présent arrêt, dont la rédaction a été approuvée à huis clos, est notifié, par l'envoi d'une copie complète, à : - M. Christophe Sivilotti, avocat (pour 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