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618 vom 18. August 2015</w:t>
      </w:r>
    </w:p>
    <w:p>
      <w:r>
        <w:t>VD Tribunal cantonal, 2015-08-18, FR</w:t>
      </w:r>
    </w:p>
    <w:p>
      <w:r>
        <w:rPr>
          <w:b/>
        </w:rPr>
        <w:t xml:space="preserve">Quelle: </w:t>
      </w:r>
      <w:r>
        <w:t>https://mcp.opencaselaw.ch/entscheid/vd_findinfo_D_cision___2015___618</w:t>
      </w:r>
    </w:p>
    <w:p>
      <w:r>
        <w:t>FR: VD_FINDINFO Décision / 2015 / 618 du 18 août 2015</w:t>
      </w:r>
    </w:p>
    <w:p>
      <w:r>
        <w:t>IT: VD_FINDINFO Décision / 2015 / 618 del 18 agosto 2015</w:t>
      </w:r>
    </w:p>
    <w:p>
      <w:pPr>
        <w:pStyle w:val="Heading2"/>
      </w:pPr>
      <w:r>
        <w:t>Regeste</w:t>
      </w:r>
    </w:p>
    <w:p>
      <w:r>
        <w:t>LIBÉRATION CONDITIONNELLE | 86 al. 1 CP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détenu qui a qualité pour recourir (art. 382 al. 1 CPP). Conforme aux exigences de motivation prévues par l’art. 385 al. 1 CPP, il est ainsi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 s'est fondée exclusivement sur les antécédents du condamné (TF 6B_900/2010 du 20 décembre 2010 c. 1; ATF 133 IV 201 c. 2.3).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 1a/aa). On peut même se demander si le comportement en détention représente encore un critère indépendant ou s'il n'est pas, selon les circonstances, un simple élément supplémentaire d'appréciation pour établir le pronostic (ATF 119 IV 5 c. 1a/aa et les références citées; TF 6A.71/2004 du 29 novembre 2004 c. 2.2). Selon le Tribunal fédéral, l'accent que le législateur a voulu mettre sur la fonction de réinsertion sociale de la libération conditionnelle, et donc la priorité donnée au pronostic favorable, doivent être pris en considération dans l’appréciation du comportement du condamné durant l’exécution de la peine;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doivent être pris en considération dans l'établissement du pronostic (ATF 119 IV 5 c. 1a/bb; CREP 28 janvier 2015/66; CREP 12 novembre 2013/663; CREP 27 septembre 2013/563 c. 2b in fine).</w:t>
      </w:r>
    </w:p>
    <w:p>
      <w:r>
        <w:rPr>
          <w:b/>
        </w:rPr>
        <w:t>E. 2.2</w:t>
      </w:r>
    </w:p>
    <w:p>
      <w:r>
        <w:t>En l'espèce, la condition objective des deux tiers de la peine privative de liberté prévue par l'art. 86 al. 1 CP est réalisée depuis le 4 juillet 2015. La condition du bon comportement du recourant en détention doit également être considérée comme réalisée au vu du rapport de la Direction des EPO, qui est expressément favorable à la libération conditionnelle, en dépit des deux sanctions disciplinaires prononcées.</w:t>
      </w:r>
    </w:p>
    <w:p>
      <w:r>
        <w:rPr>
          <w:b/>
        </w:rPr>
        <w:t>E. 2.3</w:t>
      </w:r>
    </w:p>
    <w:p>
      <w:r>
        <w:t>Cela étant, la question déterminante quant au sort du recours est celle du pronostic à poser quant à l’avenir du condamné après une éventuelle libération conditionnelle, en d’autre termes s'il y a lieu de craindre qu'il ne commette de nouveaux crimes ou de nouveaux délits une fois libéré. A cet égard, l'argumentation de la Juge d'application des peines est convaincante. La cour de céans s’y réfère dès lors intégralement. En effet, l’avis déterminant à cet égard est le rapport de la CIC du 28 avril 2015. Il s’agit d’un compte-rendu récent, proche de l’échéance du 4 juillet 2015, qui confirme que le condamné n’a accompli que relativement peu de progrès depuis le rapport d’expertise déposé le 31 juillet 2012 par l’Institut de psychiatrie légale du CHUV. La commission se dit préoccupée par la dangerosité criminologique présentée par l’intéressé et souligne l’importance du travail thérapeutique restant à fournir pour atteindre l’objectif indiqué par les experts. La dangerosité présentée par le condamné est du reste telle que la commission a ajouté qu’elle souhaitait disposer d’une nouvelle expertise psychiatrique afin notamment de déterminer si la mesure de traitement ambulatoire était toujours opportune ou si, bien plutôt, un traitement institutionnel serait plus indiqué. Des craintes analogues ont en outre été évoquées dans le plan d’exécution de la sanction, établi au vu de l’observation du condamné. On peut en déduire, avec le premier juge, que la mesure thérapeutique ordonnée, qui n’a débuté qu’en avril 2014, n’a, malgré quelques possibles effets favorables, pas encore produit les bénéfices espérés, le risque de réitération n’ayant pas diminué dans une mesure suffisante à l’aune de l’art. 86 al 1 CP. Au surplus, il ressort de ses déclarations que le condamné n’entend continuer le traitement que si celui-ci lui est imposé. Certes, le recourant fait valoir qu’il ne s’oppose pas à son expulsion. Ce consentement est assurément un élément de bon augure. Il ne suffit cependant pas à poser un pronostic favorable au regard de l’ampleur du risque de réitération relevé par la CIC. En particulier, le recourant ne peut être astreint par les autorités suisses à suivre une thérapie dans son pays. Pour le reste, les premiers signes d’amendement présentés par le condamné ne sont que partiels. Il est dès lors à craindre que le recourant ne commette de nouveaux crimes ou de nouveaux délits contre l’intégrité corporelle ou sexuelle s’il venait à être libéré. Aussi, il y a lieu de considérer que le pronostic est clairement défavorable.</w:t>
      </w:r>
    </w:p>
    <w:p>
      <w:r>
        <w:rPr>
          <w:b/>
        </w:rPr>
        <w:t>E. 2.4</w:t>
      </w:r>
    </w:p>
    <w:p>
      <w:r>
        <w:t>Par identité de motifs, point n’est besoin d’entendre les témoins dont l’audition est requise. En effet, ceux-ci ne pourraient que confirmer un fait déjà retenu sur la base des propres déclarations de la partie et apprécié en droit, à savoir le souhait du condamné de regagner son pays, en particulier pour retrouver sa fille et sa grand-mère, cette dernière étant à même de l’abriter sous son toit (P. 10, lignes 63-65).</w:t>
      </w:r>
    </w:p>
    <w:p>
      <w:r>
        <w:rPr>
          <w:b/>
        </w:rPr>
        <w:t>E. 3</w:t>
      </w:r>
    </w:p>
    <w:p>
      <w:r>
        <w:t>Il résulte de ce qui précède que le recours, manifestement mal fondé, doit être rejeté sans autres échanges d’écritures (art. 390 al. 2 CPP) et l’ordonnance du 31 juillet 2015 confirmée.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31 juillet 2015 est confirmée. III. L’indemnité allouée au défenseur d’office de Q.________ est fixée à 486 fr. (quatre cent huitante-six francs). IV. Les frais d’arrêt, par 1’100 fr. (mille cent francs), ainsi que l’indemnité due au défenseur d’office de Q.________, par 486 fr. (quatre cent huitante-six francs), sont mis à la charge de ce dernier. V. Le remboursement à l'Etat de l'indemnité allouée au chiffre III ci-dessus ne sera exigible que pour autant que la situation économique de Q.________ se soit améliorée. VI. Le présent arrêt est exécutoire. Le président :               Le greffier : Du Le présent arrêt, dont la rédaction a été approuvée à huis clos, est notifié, par l'envoi d'une copie complète, à : - Mme Sarah El-Abshihy, avocate (pour Q.________), - Ministère public central; et communiqué à : ‑ Mme la Juge d’application des peines, - Mme la Procureure de l’arrondissement de Lausanne, - Office d’exécution des peines (réf. : OEP/PPL/74399/VRI/BD), - Direction des Etablissements de la Plaine de l’Orbe,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