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616 vom 10. August 2015</w:t>
      </w:r>
    </w:p>
    <w:p>
      <w:r>
        <w:t>VD Tribunal cantonal, 2015-08-10, FR</w:t>
      </w:r>
    </w:p>
    <w:p>
      <w:r>
        <w:rPr>
          <w:b/>
        </w:rPr>
        <w:t xml:space="preserve">Quelle: </w:t>
      </w:r>
      <w:r>
        <w:t>https://mcp.opencaselaw.ch/entscheid/vd_findinfo_D_cision___2015___616</w:t>
      </w:r>
    </w:p>
    <w:p>
      <w:r>
        <w:t>FR: VD_FINDINFO Décision / 2015 / 616 du 10 août 2015</w:t>
      </w:r>
    </w:p>
    <w:p>
      <w:r>
        <w:t>IT: VD_FINDINFO Décision / 2015 / 616 del 10 agosto 2015</w:t>
      </w:r>
    </w:p>
    <w:p>
      <w:pPr>
        <w:pStyle w:val="Heading2"/>
      </w:pPr>
      <w:r>
        <w:t>Regeste</w:t>
      </w:r>
    </w:p>
    <w:p>
      <w:r>
        <w:t>LÉSION CORPORELLE, LÉSION CORPORELLE PAR NÉGLIGENCE, ABUS D'AUTORITÉ, REJET DE LA DEMANDE | 123 CP, 125 CP, 312 CP, 310 CPP (CH), 322 al. 2 CPP (CH), 393 CPP (CH)</w:t>
      </w:r>
    </w:p>
    <w:p>
      <w:pPr>
        <w:pStyle w:val="Heading2"/>
      </w:pPr>
      <w:r>
        <w:t>Erwägungen</w:t>
      </w:r>
    </w:p>
    <w:p>
      <w:r>
        <w:rPr>
          <w:b/>
        </w:rPr>
        <w:t>E. 1</w:t>
      </w:r>
    </w:p>
    <w:p>
      <w:r>
        <w:t>Les parties peuvent attaquer une ordonnance de non-entrée en matière rendue par le ministère public en application de l’art. 310 CPP (Code de procédure pénale suisse du 5 octobre 2007; RS 312.0) dans les dix jours devant l’autorité de recours (art. 310 al. 2,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la partie plaignante, qui a la qualité pour recourir (cf. art. 382 al. 1 CPP), le recours est recevable.</w:t>
      </w:r>
    </w:p>
    <w:p>
      <w:r>
        <w:rPr>
          <w:b/>
        </w:rPr>
        <w:t>E. 2.1</w:t>
      </w:r>
    </w:p>
    <w:p>
      <w:r>
        <w:t>Selon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Le terme « immédiatement » figurant à l’art. 310 al. 1 CPP n’implique pas une proximité temporelle entre la réception de la plainte par le Ministère public et la reddition d’une ordonnance de non-entrée en matière, mais qu’une instruction n’a pas encore été ouverte (art. 309 al. 1 et 4 CPP; TF 1B_67/2012 du 29 mai 2012 c. 2.2). Il a été jugé qu’un délai d’une année depuis le dépôt de la plainte devant le Ministère public n’empêchait pas de rendre une ordonnance de non-entrée en matière, si l’enquête en était restée au stade des investigations de police (TF 1B_271/2012 du</w:t>
      </w:r>
    </w:p>
    <w:p>
      <w:r>
        <w:rPr>
          <w:b/>
        </w:rPr>
        <w:t>E. 2.3</w:t>
      </w:r>
    </w:p>
    <w:p>
      <w:r>
        <w:t>En l’espèce, le Ministère public a retenu que le comportement du recourant n’avait pas permis au policier en charge du chien d’ordonner à ce dernier de lâcher sa prise aussi longtemps que l’intéressé n’avait pas été menotté. Dans ces circonstances, il n’avait pas été recouru à des moyens de contrainte excessifs. Au surplus, les forces de police avaient pris les mesures nécessaires pour que le recourant soit rapidement soigné par un médecin. Enfin, le refus de donner au recourant son médicament était justifié par les circonstances et les besoins de l’arrestation. Il y a lieu de confirmer cette appréciation. Il apparaît en effet que les éléments constitutifs de l'infraction, respectivement les conditions à l’ouverture de l’action pénale, ne sont manifestement pas réunis. En fuyant et en frappant le chien, formé pour ne pas blesser en cas d’interpellation, le recourant a provoqué la riposte plus sévère du chien. A ce titre, le recourant n’est pas crédible lorsqu’il prétend avoir adopté un comportement entièrement passif. Dès lors, d’une part, il n’y a à l’évidence pas d’abus d’autorité : rien n’indique que les actes du policier en charge du chien auraient été motivés par un dessein de nuire ou par celui de se procurer un avantage illicite. D’autre part, sous l’angle des lésions corporelles, les actes du chien et du maître répondaient à la nécessité d’interpeller le plaignant. L’acte était clairement autorisé par la loi (cf. art. 14 CP) et la maîtrise par le chien proportionnée. Enfin, un médecin a été appelé à l’issue de l’intervention de police pour fournir les soins nécessaires. Il n’a pas été nécessaire de procéder à une seconde intervention médicale (P. 7/3, lignes 73 à 76). Il était au surplus cohérent d’également attendre la fin de l’intervention pour remettre au plaignant son médicament « Ventolin », étant précisé qu’il ne ressort nullement du dossier que celui-ci en aurait eu un besoin urgent. 3. Au vu de ce qui précède, le recours doit être rejeté sans autre échange d’écritures (art. 390 al. 2 CPP) et l’ordonnance attaquée confirmée. La requête tendant à la désignation d’un conseil juridique gratuit pour la procédure devant la Cour de céans doit également être rejetée, le recours apparaissant d’emblée dénué de chances de succès (CREP 4 mai 2015/304 c. 3; CREP 19 mars 2012/244 c. 3). Les frais de la procédure de recours, constitués en l'espèce uniquement de l'émolument d'arrêt (art. 422 al. 1 CPP), par 550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6 juillet 2015 est confirmée. III. La requête tendant à la désignation d’un conseil juridique gratuit pour la procédure de recours est rejetée. IV. Les frais de la procédure de recours, par 550 fr. (cinq cent cinquante francs), sont mis à la charge de A.________. V. Le présent arrêt est exécutoire. Le président :               Le greffier : Du Le présent arrêt, dont la rédaction a été approuvée à huis clos, est notifié, par l'envoi d'une copie complète, à : - M. A.________,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r>
        <w:rPr>
          <w:b/>
        </w:rPr>
        <w:t>E. 6</w:t>
      </w:r>
    </w:p>
    <w:p>
      <w:r>
        <w:t>septembre 2012 c. 2 ; CREP 17 septembre 2013/682 c. 6a, publié au JT 2014 III 30 et confirmé par TF 6B_7/2014 du 21 juillet 2014). S’expose à une condamnation pour lésions corporelles simples (art. 123 CP) ou lésions corporelles par négligence (art. 125 CP) celui qui aura fait subir à une personne une atteinte à l'intégrité corporelle ou à la santé. Selon l’art. 312 CP, se rendent coupables d’abus d’autorité les membres d'une autorité et les fonctionnaires qui, dans le dessein de se procurer ou de procurer à un tiers un avantage illicite, ou dans le dessein de nuire à autrui, auront abusé des pouvoirs de leur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