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611 vom 13. August 2015</w:t>
      </w:r>
    </w:p>
    <w:p>
      <w:r>
        <w:t>VD Tribunal cantonal, 2015-08-13, FR</w:t>
      </w:r>
    </w:p>
    <w:p>
      <w:r>
        <w:rPr>
          <w:b/>
        </w:rPr>
        <w:t xml:space="preserve">Quelle: </w:t>
      </w:r>
      <w:r>
        <w:t>https://mcp.opencaselaw.ch/entscheid/vd_findinfo_D_cision___2015___611</w:t>
      </w:r>
    </w:p>
    <w:p>
      <w:r>
        <w:t>FR: VD_FINDINFO Décision / 2015 / 611 du 13 août 2015</w:t>
      </w:r>
    </w:p>
    <w:p>
      <w:r>
        <w:t>IT: VD_FINDINFO Décision / 2015 / 611 del 13 agosto 2015</w:t>
      </w:r>
    </w:p>
    <w:p>
      <w:pPr>
        <w:pStyle w:val="Heading2"/>
      </w:pPr>
      <w:r>
        <w:t>Regeste</w:t>
      </w:r>
    </w:p>
    <w:p>
      <w:r>
        <w:t>DÉTENTION PROVISOIRE, RISQUE DE FUITE, MESURE ANTICIPÉE D'EXÉCUTION PAR SUBSTITUTION | 221 al. 1 let. a CPP (CH), 237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Ministère public peut également recourir à l’encontre de ces décisions (ATF 137 IV 22 c. 1.2 à 1.4).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du Ministère public,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compte tenu des éléments au dossier, en particulier des images de vidéosurveillance de la Banque [...] prises le 9 avril 2015, il existe une présomption suffisamment sérieuse de culpabilité à l’encontre de L.________.</w:t>
      </w:r>
    </w:p>
    <w:p>
      <w:r>
        <w:rPr>
          <w:b/>
        </w:rPr>
        <w:t>E. 3</w:t>
      </w:r>
    </w:p>
    <w:p>
      <w:r>
        <w:t>Le Ministère public invoque l’existence d’un risque de fuite (art. 221 al. 1 let. a CPP).</w:t>
      </w:r>
    </w:p>
    <w:p>
      <w:r>
        <w:rPr>
          <w:b/>
        </w:rPr>
        <w:t>E. 3.1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La gravité de l'infraction ne peut pas, à elle seule, justifier la prolongation de la détention, même si elle permet souvent de présumer un danger de fuite en raison de l'importance de la peine dont le prévenu est menacé (ATF 138 IV 81 précité; TF 1B_145/2012 du 19 avril 2012 c. 3.1 et les références citées).</w:t>
      </w:r>
    </w:p>
    <w:p>
      <w:r>
        <w:rPr>
          <w:b/>
        </w:rPr>
        <w:t>E. 3.2</w:t>
      </w:r>
    </w:p>
    <w:p>
      <w:r>
        <w:t>En l’espèce, le prévenu, ressortissant tunisien, n’a aucun titre de séjour, ni aucune attache avec la Suisse. En l’absence de lien solide avec notre pays, il est fortement à craindre, au vu de la peine qu’il encourrait en cas de condamnation, qu’il ne cherche à se soustraire aux poursuites engagées contre lui en disparaissant dans la clandestinité. Par conséquent, le risque de fuite est concret.</w:t>
      </w:r>
    </w:p>
    <w:p>
      <w:r>
        <w:rPr>
          <w:b/>
        </w:rPr>
        <w:t>E. 4.1</w:t>
      </w:r>
    </w:p>
    <w:p>
      <w:r>
        <w:t>Le Ministère public reproche au Tribunal des mesures de contrainte d’avoir considéré qu’une mesure de substitution sous la forme de l’exécution d’une peine privative de liberté de 60 jours était propre à parer au risque de fuite.</w:t>
      </w:r>
    </w:p>
    <w:p>
      <w:r>
        <w:rPr>
          <w:b/>
        </w:rPr>
        <w:t>E. 4.2</w:t>
      </w:r>
    </w:p>
    <w:p>
      <w:r>
        <w:t>Conformément au principe de la proportionnalité (art. 36 al. 3 Cst.), il convient d'examiner les possibilités de mettre en oeuvre d'autres solutions moins dommageables que la détention avant jugement.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Conformément à l'art. 237 al. 5 CPP,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(TF 1B_165/2012 du 12 avril 2012 c. 2.2). La liste des mesures de substitution énoncée à l'art. 237 CPP n'est pas exhaustive. En vertu du principe constitutionnel de la proportionnalité, l'autorité est tenue de substituer à la détention provisoire toute mesure moins incisive qui permettrait d'atteindre le même but (TF 1B_654/2011 du 7 décembre 2011). Elle peut, à cet effet, assortir cette mesure de toute condition propre à en garantir l'efficacité (TF 1B_165/2012 du 12 avril 2012 c. 2.3).</w:t>
      </w:r>
    </w:p>
    <w:p>
      <w:r>
        <w:rPr>
          <w:b/>
        </w:rPr>
        <w:t>E. 4.3</w:t>
      </w:r>
    </w:p>
    <w:p>
      <w:r>
        <w:t>En l’espèce, la mise à exécution, à titre de mesure de substitution, de la peine privative de liberté de 60 jours prononcée le 15 janvier 2015 permettra d'atteindre le même but que celui poursuivi par la détention provisoire, soit parer au risque de fuite. Par ailleurs, il s'agit d'une mesure moins dommageable puisque le recourant sera au bénéfice d'un régime carcéral moins sévère (CREP 19 juin 2014/420 c. 4c ; CREP 8 octobre 2014/737 c. 4b). Comme le relève le Ministère public, il est effectivement possible que cette mesure ne permette pas de parer au risque de fuite jusqu’au jugement de première instance, lequel ne pourra vraisemblablement pas avoir lieu avant la fin de l’exécution de la peine privative de liberté de 60 jours. Dans ce cas, toutefois, la détention provisoire, respectivement la détention pour des motifs de sûreté, pourra à nouveau être ordonnée si les conditions en sont toujours réalisées (CREP 19 juin 2014/420 c. 4c ; CREP 8 octobre 2014/737 c. 4b). Il appartiendra ainsi à l’Office d’exécution des peines et à la direction de la procédure de bien se coordonner (CREP 19 juin 2014/420 c. 4d ; CREP 8 octobre 2014/737 c. 4b ; cf. TF 1B_165/2012 du 12 avril 2012 c. 2.3 in fine ). Partant, il n’y a pas de risque que le prévenu se retrouve en liberté avant d’avoir été jugé.</w:t>
      </w:r>
    </w:p>
    <w:p>
      <w:r>
        <w:rPr>
          <w:b/>
        </w:rPr>
        <w:t>E. 5</w:t>
      </w:r>
    </w:p>
    <w:p>
      <w:r>
        <w:t>Il résulte de ce qui précède que le recours du Ministère public, manifestement mal fondé, doit être rejeté sans autres échanges d’écritures (art. 390 al. 2 CPP). Les frais de la procédure de recours, constitués en l’espèce du seul émolument d'arrêt, par 770 fr. (art. 20 al. 1 [tarif des frais judiciaires de procédure et indemnités en matière pénale du 28 septembre 2010; RSV 312.03.1]), seront laissés à la charge de l’Etat (art. 428 al. 1 CPP). Par ces motifs, la Chambre des recours pénale prononce : I. Le recours est rejeté. II. L’ordonnance du 11 août 2015 est confirmée. III. Les frais d’arrêt, par 770 fr. (sept cent septante francs), sont laissés à la charge de l’Etat. IV. Le présent arrêt est exécutoire. Le président :               La greffière : Du Le présent arrêt, dont la rédaction a été approuvée à huis clos, est notifié, par l'envoi d'une copie complète, à : - M. Philippe Baudraz, avocat (pour L.________), - Ministère public central, et communiqué à : ‑ Mme la Procureure de l’arrondissement de Lausanne, - Mme la Présidente du Tribunal des mesures de contrainte,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