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606 vom 12. August 2015</w:t>
      </w:r>
    </w:p>
    <w:p>
      <w:r>
        <w:t>VD Tribunal cantonal, 2015-08-12, FR</w:t>
      </w:r>
    </w:p>
    <w:p>
      <w:r>
        <w:rPr>
          <w:b/>
        </w:rPr>
        <w:t xml:space="preserve">Quelle: </w:t>
      </w:r>
      <w:r>
        <w:t>https://mcp.opencaselaw.ch/entscheid/vd_findinfo_D_cision___2015___606</w:t>
      </w:r>
    </w:p>
    <w:p>
      <w:r>
        <w:t>FR: VD_FINDINFO Décision / 2015 / 606 du 12 août 2015</w:t>
      </w:r>
    </w:p>
    <w:p>
      <w:r>
        <w:t>IT: VD_FINDINFO Décision / 2015 / 606 del 12 agosto 2015</w:t>
      </w:r>
    </w:p>
    <w:p>
      <w:pPr>
        <w:pStyle w:val="Heading2"/>
      </w:pPr>
      <w:r>
        <w:t>Regeste</w:t>
      </w:r>
    </w:p>
    <w:p>
      <w:r>
        <w:t>DOMMAGE IRRÉPARABLE, DÉCISION INCIDENTE | 393 al. 1 let. b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(en allemand: " ausgenommen sind verfahrensleitende Entscheide "; en italien: " sono eccettuate le decisioni ordinatorie "). Cette disposition doit être lue en corrélation avec l'art. 65 al. 1 CPP, aux termes duquel "les ordonnances rendues par les tribunaux" (en allemand: " verfahrensleitende Anordnungen der Gerichte "; en italien: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Genève/Zurich/Bâle 2011, n. 1969). Il s'agit en particulier de toutes les décisions qu'exigent l'avancement et le déroulement de la procédure avant ou pendant les débats (ATF 138 IV 193 c. 4.3.1 pp. 195 s.). Selon la jurisprudence, ces décisions peuvent toutefois faire l’objet d’un recours selon le CPP lorsqu’elle sont susceptibles de causer un préjudice irréparable (ATF 140 IV 202 c. 2.1 in fine p. 205, JT 2015 I 73).</w:t>
      </w:r>
    </w:p>
    <w:p>
      <w:r>
        <w:rPr>
          <w:b/>
        </w:rPr>
        <w:t>E. 1.2</w:t>
      </w:r>
    </w:p>
    <w:p>
      <w:r>
        <w:t>En l'espèce, la teneur littérale de la décision incidente rendue sur le siège le 22 juillet 2015 n’est pas connue. Peu importe toutefois. Il est en effet établi qu’un jugement a été rendu le 30 juillet 2015 contre le recourant, déféré et jugé avec des co-prévenus. Il doit en être déduit que les juges du fond ont, par voie incidente, refusé la fixation de nouveau débats, respectivement la disjonction de la cause du recourant. Un tel refus n’est pas susceptible de causer un préjudice irréparable à la partie, qui dispose de la voie de droit de l’appel contre le jugement au fond, conformément aux art. 398 ss CPP, étant précisé que la juridiction d'appel jouit d'un plein pouvoir d'examen sur tous les points attaqués du jugement (art. 398 al. 2 CPP). En effet, si l’autorité d’appel devait considérer que les premiers juges auraient dû accepter de fixer de nouveaux débats, respectivement disjoindre la cause du recourant, elle disposera de la faculté d’annuler le jugement et de renvoyer la cause au tribunal correctionnel pour que celui-ci procède dans le sens des considérants et rende un nouveau jugement, conformément à l’art. 409 CPP.</w:t>
      </w:r>
    </w:p>
    <w:p>
      <w:r>
        <w:rPr>
          <w:b/>
        </w:rPr>
        <w:t>E. 2</w:t>
      </w:r>
    </w:p>
    <w:p>
      <w:r>
        <w:t>En définitive, le recours, manifestement irrecevable, doit être écarté sans autres échanges d’écritures (art. 390 al. 2 CPP). Vu l’issue du recours, les frais de la procédure de recours, constitués en l’espèce de l’émolument d'arrêt (art. 422 al. 1 CPP), par 440 fr. (art. 20 al. 1 TFIP [Tarif des frais de procédure et indemnités en matière pénale du 28 septembre 2010; RSV 312.03.1]), ainsi que les frais imputables à la défense d’office pour la procédure de recours (art. 422 al. 1 et 2 let. a CPP), fixés à 360 fr. débours compris, plus la TVA, par 28 fr. 80, soit 388 fr. 80 au total, seront mis à la charge du recourant, qui succombe, étant précisé que la partie dont le recours est irrecevable est également considérée avoir succombé (art. 428 al. 1, spéc. seconde phrase, CPP). Par ces motifs, la Chambre des recours pénale prononce : I. Le recours est irrecevable. II. L’indemnité allouée au défenseur d'office de D.________ est fixée à 388 fr. 80 (trois cent huitante-huit francs et huitante centimes). III. Les frais du présent arrêt, par 440 fr. (quatre cent quarante francs), ainsi que l’indemnité due au défenseur d’office de D.________, par 388 fr. 80 (trois cent huitante-huit francs et huitante centimes), sont mis à la charge de ce dernier. IV. Le remboursement à l'Etat de l'indemnité allouée au chiffre II ci-dessus ne sera exigible que pour autant que la situation économique de D.________ se soit améliorée. V. Le présent arrêt est exécutoire. Le président :              Le greffier : Du Le présent arrêt, dont la rédaction a été approuvée à huis clos, est notifié, par l'envoi d'une copie complète, à : - M. Vincent Demierre, avocat (pour D.________), - Ministère public central, et communiqué à : ‑ Mme la Présidente du Tribunal correctionnel de l’arrondissement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