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597 vom 10. August 2015</w:t>
      </w:r>
    </w:p>
    <w:p>
      <w:r>
        <w:t>VD Tribunal cantonal, 2015-08-10, FR</w:t>
      </w:r>
    </w:p>
    <w:p>
      <w:r>
        <w:rPr>
          <w:b/>
        </w:rPr>
        <w:t xml:space="preserve">Quelle: </w:t>
      </w:r>
      <w:r>
        <w:t>https://mcp.opencaselaw.ch/entscheid/vd_findinfo_D_cision___2015___597</w:t>
      </w:r>
    </w:p>
    <w:p>
      <w:r>
        <w:t>FR: VD_FINDINFO Décision / 2015 / 597 du 10 août 2015</w:t>
      </w:r>
    </w:p>
    <w:p>
      <w:r>
        <w:t>IT: VD_FINDINFO Décision / 2015 / 597 del 10 agosto 2015</w:t>
      </w:r>
    </w:p>
    <w:p>
      <w:pPr>
        <w:pStyle w:val="Heading2"/>
      </w:pPr>
      <w:r>
        <w:t>Regeste</w:t>
      </w:r>
    </w:p>
    <w:p>
      <w:r>
        <w:t>AVOCAT D'OFFICE, DÉNUEMENT, MINIMUM VITAL | 132 al. 1 let. b CPP (CH), 132 al. 2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Il en va de même des pièces nouvelles produites (CREP 21 novembre 2013/694).</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w:t>
      </w:r>
    </w:p>
    <w:p>
      <w:r>
        <w:rPr>
          <w:b/>
        </w:rPr>
        <w:t>E. 2.2</w:t>
      </w:r>
    </w:p>
    <w:p>
      <w:r>
        <w:t>En l’espèce, il est incontesté qu’il s’agit d’un cas de défense obligatoire, motif pris en particulier que le recourant, prévenu d’incendie intentionnel, encourt une peine privative de liberté de plus d’un an ou une mesure entraînant une privation de liberté (art. 130 let. b CPP). En effet, l’art. 221 al. 1 CP (Code pénal; RS 311.0) réprime cette infraction d'une peine privative de liberté d'un an au moins, sous réserve de l’exception prévue à l’art. 221 al. 3 CP, laquelle ne paraît, prima facie, pas en cause ici. Cela étant, la question déterminante quant au droit à la défense d’office est celle de l’indigence du prévenu (art. 132 al. 1 let. b CPP). Dans un cas d’espèce, la Cour de céans a considéré qu’un disponible de 1’646 fr. 10 par mois paraissait suffisant pour couvrir les honoraires d’un avocat (CREP 22 mai 2013/327).</w:t>
      </w:r>
    </w:p>
    <w:p>
      <w:r>
        <w:rPr>
          <w:b/>
        </w:rPr>
        <w:t>E. 2.3</w:t>
      </w:r>
    </w:p>
    <w:p>
      <w:r>
        <w:t>La procureure a déterminé un solde mensuel disponible de revenus de 1'787 fr. en prenant en compte les impôts, les frais de transports, les frais de repas hors du domicile, les autres frais professionnels, le montant mensuel de la déduction de base pour un couple, le loyer et les cotisations mensuelles de l’assurance obligatoire des soins pour le couple. Le recourant fait d’abord grief à la magistrate d’avoir omis de retenir les frais d’entretien afférents aux deux enfants mineurs du couple, nés en 2002 et 2006, à hauteur de 600 fr. et de 400 fr. mensuellement pour l’aîné et le cadet respectivement. Il lui reproche ensuite d’avoir fait fi des primes d’assurance-maladie des enfants, à raison de 100 fr. 10 mensuellement pour chacun d’eux, abstraction faite des couvertures complémentaires. Il soutient enfin que le loyer du garage qu’il occupe, par 100 fr. mensuellement, devrait aussi être pris en compte. Il parvient ainsi à un solde disponible mensuel de 486 fr., représentant la différence entre des revenus de 6'288 fr. et des charges de 5'802 francs.</w:t>
      </w:r>
    </w:p>
    <w:p>
      <w:r>
        <w:rPr>
          <w:b/>
        </w:rPr>
        <w:t>E. 2.4</w:t>
      </w:r>
    </w:p>
    <w:p>
      <w:r>
        <w:t>Les charges supplémentaires relatives aux enfants du couple sont établies à satisfaction de droit; celles retenues par la Procureure le sont à juste titre. Le solde disponible déterminé au vu de ces éléments ne permet pas au prévenu d’assumer les honoraires et frais d’un défenseur de choix, même si la nécessité de la location de son garage privé n’est pas établie. Les conditions d’une défense d’office sont donc réunies.</w:t>
      </w:r>
    </w:p>
    <w:p>
      <w:r>
        <w:rPr>
          <w:b/>
        </w:rPr>
        <w:t>E. 3</w:t>
      </w:r>
    </w:p>
    <w:p>
      <w:r>
        <w:t>En définitive, le recours doit être admis et l’ordonnance réformée dans le sens qui précède. Me Xavier Diserens sera en outre désigné comme défenseur d’office du prévenu également pour la présente procédure de recours. La désignation prendra effet au jour du dépôt de la demande, soit le 27 mai 2015 (cf. CREP 8 mai 2015/317; CREP 7 janvier 2015/13; Juge unique CREP 6 octobre 2011/471). Vu l’issue du recours, les frais de la procédure de recours, constitués en l’espèce de l’émolument d'arrêt (art. 422 al. 1 CPP), par 660 fr. (art. 20 al. 1 TFIP [Tarif des frais de procédure et indemnités en matière pénale du 28 septembre 2010; RSV 312.03.1]), ainsi que les frais imputables à la défense d’office pour la présente procédure de recours (art. 422 al. 1 et 2 let. a CPP), fixés à 450 fr. débours compris, plus la TVA, par 36 fr., soit 486 fr. au total, seront laissés à la charge de l’Etat (art. 423 al. 1 CPP). Par ces motifs, la Chambre des recours pénale prononce : I. Le recours est admis. II. L'ordonnance du 15 juillet 2015 est réformée en ce sens que Me Xavier Diserens est désigné en qualité de défenseur d'office d’J.________ avec effet au 27 mai 2015. III. Me Xavier Diserens est désigné comme défenseur d'office d’J.________ pour la procédure de recours et l’indemnité d’office qui lui est allouée en cette qualité est fixée à 486 fr. (quatre cent huitante-six francs). IV. Les frais du présent arrêt, par 660 fr. (six cent soixante francs), ainsi que l’indemnité due au défenseur d’office d’J.________, par 486 fr. (quatre cent huitante-six francs), sont laissés à la charge de l’Etat. V. Le présent arrêt est exécutoire. Le président :               Le greffier : Du Le présent arrêt, dont la rédaction a été approuvée à huis clos, est notifié, par l'envoi d'une copie complète, à : - M. Xavier Diserens, avocat (pour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