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591 vom 3. August 2015</w:t>
      </w:r>
    </w:p>
    <w:p>
      <w:r>
        <w:t>VD Tribunal cantonal, 2015-08-03, FR</w:t>
      </w:r>
    </w:p>
    <w:p>
      <w:r>
        <w:rPr>
          <w:b/>
        </w:rPr>
        <w:t xml:space="preserve">Quelle: </w:t>
      </w:r>
      <w:r>
        <w:t>https://mcp.opencaselaw.ch/entscheid/vd_findinfo_D_cision___2015___591</w:t>
      </w:r>
    </w:p>
    <w:p>
      <w:r>
        <w:t>FR: VD_FINDINFO Décision / 2015 / 591 du 3 août 2015</w:t>
      </w:r>
    </w:p>
    <w:p>
      <w:r>
        <w:t>IT: VD_FINDINFO Décision / 2015 / 591 del 3 agosto 2015</w:t>
      </w:r>
    </w:p>
    <w:p>
      <w:pPr>
        <w:pStyle w:val="Heading2"/>
      </w:pPr>
      <w:r>
        <w:t>Regeste</w:t>
      </w:r>
    </w:p>
    <w:p>
      <w:r>
        <w:t>CLASSEMENT DE LA PROCÉDURE, DÉCISION SUR FRAIS | 322 al. 2 CPP (CH), 395 let. b CPP (CH), 426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2.1</w:t>
      </w:r>
    </w:p>
    <w:p>
      <w:r>
        <w:t>La recourante conteste la mise à sa charge des frais de la procédure de la procédure pénale en dépit du classement de cette dernière.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 1.1; TF 6B_99/2011 du 13 septembre 2011 c. 5.1.2; Chapuis, in : Kuhn/Jeanneret [éd.], Commentaire romand, Code de procédure pénale suisse, Bâle 2011, n. 2 ad art. 426 CPP). Le fait reproché doit constituer une violation claire de la norme de comportement (ATF 119 Ia 332 c. 1b; TF 6B_439/2013 précité c. 1.1). L'acte répréhensible n'a pas à être commis intentionnellement. La négligence suffit, sans qu'il soit besoin qu'elle soit grossière (ATF 109 Ia 160 c. 4a;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 1.2; TF 1B_21/2012 du 27 mars 2012 c. 2.1).</w:t>
      </w:r>
    </w:p>
    <w:p>
      <w:r>
        <w:rPr>
          <w:b/>
        </w:rPr>
        <w:t>E. 2.3</w:t>
      </w:r>
    </w:p>
    <w:p>
      <w:r>
        <w:t>Lorsqu'elle a été entendue sur les actes dont la société plaignante lui reprochait la commission (cf. PV aud. 2), la recourante a déclaré qu'à sa connaissance, elle n'avait jamais eu de droits d'administration sur le site géré par son employeur; selon ses déclarations, elle n'avait pas la tâche de gérer les divers sites de promotion informatique de celui-ci, notamment ses profils "Facebook", LinkedIn" et "Twitter" (réponse 11). Elle a contesté avoir délibérément porté la moindre atteinte aux pages Internet concernées (réponse 13). Elle a évoqué, à titre d'hypothèse, la manipulation par laquelle elle avait tenté de retirer son propre profil des "amis Facebook" de son employeur (même réponse). Enfin, elle ne serait pas "une férue d'informatique", si bien qu'elle n'aurait pas été pas capable de faire volontairement la manipulation qui lui a été reprochée (réponse 14). Dans son acte de recours, elle a réaffirmé qu'un éventuel changement de la page de son employeur n'a pu intervenir que dans le cadre de sa tentative de retirer ladite page de son propre profil "Facebook" pour éviter toutes connexions ou réception de nouvelles au sujet de son ancien employeur; informée d'un problème par une employée de la société plaignante, la recourante aurait tenté d'annuler les modifications effectuées. S'agissant des éléments techniques au dossier (cf. P. 5/2), il en ressort uniquement que le 10 décembre 2014, la recourante ou quelqu'un agissant par son profil a modifié l'âge minimal pour accéder à la page de son employeur, puis a agendé la suppression de ladite page, avant, dix minutes plus tard, d'annuler cette dernière opération; la modification de l'âge minimal aurait entraîné la suppression d'un certain nombre de mentions "J'aime". Ces éléments sont compatibles avec l'explication donnée par la recourante, soit celle d'une possible manipulation accidentelle. De façon générale, rien ne permet d'infirmer la version de la recourante et il est par conséquent exclu de reprocher à celle-ci la commission volontaire d'un acte illicite, étant rappelé que l'infraction pénale envisagée suppose un comportement intentionnel (cf. art. 144bis CP). Quant à la commission, par négligence, d'un acte illicite au sens de la clause générale de l'art. 41 CO ou de toute autre norme, elle ne peut être retenue; en particulier, on ne peut considérer comme établi qu'une imprudence devrait être reprochée à la recourante, étant rappelé que celle-ci soutient qu'elle ne savait pas qu'elle disposait de droits d'administration sur la page en question, ni qu'il était suffisamment prévisible que la manipulation par hypothèse imprudente aurait pour résultat la perte de données litigieuse. Au vu de ce qui précède, il n'est pas établi que la recourante aurait, de manière illicite et fautive, provoqué l'ouverture de la procédure ou rendu plus difficile la conduite de celle-ci, de sorte qu'il se justifie de laisser les frais de la procédure pénale à la charge de l'Etat.</w:t>
      </w:r>
    </w:p>
    <w:p>
      <w:r>
        <w:rPr>
          <w:b/>
        </w:rPr>
        <w:t>E. 3</w:t>
      </w:r>
    </w:p>
    <w:p>
      <w:r>
        <w:t>En définitive, le recours doit être admis et l'ordonnance attaquée réformée dans le sens des considérants (cf. c. 2.3 supra). Les frais de la procédure de recours, constitués en l'espèce uniquement de l'émolument d'arrêt (art. 422 al. 1 CPP), par 540 fr. (art. 20 al. 1 TFIP [Tarif des frais de procédure et indemnités en matière pénale du 28 septembre 2010; RSV 312.03.1]), seront laissés à la charge de l'Etat (art. 423 al. 1 CPP). Par ces motifs, le juge unique prononce : I. Le recours est admis. II. L'ordonnance du 28 mai 2015 est réformée au chiffre II de son dispositif en ce sens que les frais de la procédure, par 750 fr. (sept cent cinquante francs), sont laissés à la charge de l'Etat. III. Les frais de la procédure de recours, par 540 fr. (cinq cent quarante francs), sont laissés à la charge de l'Etat. IV. Le présent arrêt est exécutoire. Le juge unique :               Le greffier : Du Le présent arrêt, dont la rédaction a été approuvée à huis clos, est notifié, par l'envoi d'une copie complète, à : - Mme N.________, - L.________ 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