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589 vom 23. Juli 2015</w:t>
      </w:r>
    </w:p>
    <w:p>
      <w:r>
        <w:t>VD Tribunal cantonal, 2015-07-23, FR</w:t>
      </w:r>
    </w:p>
    <w:p>
      <w:r>
        <w:rPr>
          <w:b/>
        </w:rPr>
        <w:t xml:space="preserve">Quelle: </w:t>
      </w:r>
      <w:r>
        <w:t>https://mcp.opencaselaw.ch/entscheid/vd_findinfo_D_cision___2015___589</w:t>
      </w:r>
    </w:p>
    <w:p>
      <w:r>
        <w:t>FR: VD_FINDINFO Décision / 2015 / 589 du 23 juillet 2015</w:t>
      </w:r>
    </w:p>
    <w:p>
      <w:r>
        <w:t>IT: VD_FINDINFO Décision / 2015 / 589 del 23 luglio 2015</w:t>
      </w:r>
    </w:p>
    <w:p>
      <w:pPr>
        <w:pStyle w:val="Heading2"/>
      </w:pPr>
      <w:r>
        <w:t>Regeste</w:t>
      </w:r>
    </w:p>
    <w:p>
      <w:r>
        <w:t>JONCTION DE CAUSES | 29 CPP (CH), 30 CPP (CH), 393 al. 1 let. a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par laquelle le Ministère public ordonne la jonction ou la disjonction de procédures pénales (art. 30 CPP) est ainsi susceptible de recours au sens des art. 393 ss CPP (Stephenson/Thiriet, in : Niggli/Heer/Wiprächtiger [éd.], Basler Kommentar, Schweizerische Strafprozess-ordnung, Jugendstrafprozessordnung, 2 e éd., Bâle 2014, n. 10 ad art. 393 CPP ; CREP 9 juin 2015/415 ; CREP 4 mai 2015/302 c. 1 et les références citées).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interjeté dans le délai légal auprès de l’autorité compétente par le prévenu, qui a qualité pour recourir (cf. art. 382 al. 1 CPP), et satisfaisant aux conditions de forme posées par la loi (cf. art. 385 al. 1 CPP), le recours est recevable.</w:t>
      </w:r>
    </w:p>
    <w:p>
      <w:r>
        <w:rPr>
          <w:b/>
        </w:rPr>
        <w:t>E. 2.1</w:t>
      </w:r>
    </w:p>
    <w:p>
      <w:r>
        <w:t>Le recourant soutient que les deux enquêtes instruites à son encontre n’auraient aucun lien de connexité.</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procédure la règle, dans un but d'économie de procédure, mais aussi dans celui de prévenir des décisions contraires (cf. ATF 138 IV 214 c. 3.2 ; ATF 138 IV 29, JT 2012 IV 185 ; cf. ég. Moreillon/Parein-Reymond, Petit Commentaire du Code de procédure pénale, Bâle 2013, n. 2 ad art. 30 CPP). La disjonction doit ainsi être fondée sur des motifs concrets et objectifs. Elle doit avant tout servir à garantir la rapidité de la procédure, respectivement à éviter un retard inutile. A titre d’exemple, la doctrine cite notamment la prescription imminente de certaines des infractions poursuivies. En revanche, de simples motifs de commodité ne sauraient justifier une disjonction (ATF 138 IV 214 c. 3.2 et les références citées ; Bertossa, in : Kuhn/Jeanneret [éd.], Commentaire romand, Code de procédure pénale suisse, Bâle 2011, n. 2 ad art. 30 CPP ; CREP 30 janvier 2015/74).</w:t>
      </w:r>
    </w:p>
    <w:p>
      <w:r>
        <w:rPr>
          <w:b/>
        </w:rPr>
        <w:t>E. 2.3</w:t>
      </w:r>
    </w:p>
    <w:p>
      <w:r>
        <w:t>En l’espèce, le recourant est prévenu dans les deux procédures en cause, soit les affaires PE15.008913-SFE (instruite à son encontre pour vol et contravention à la LStup) et PE15.012312-SFE (instruite à son encontre pour délit et contravention à la LStup). Dans ces conditions, il importe que P.________ soit jugé en une seule fois pour l’ensemble des faits qui lui sont reprochés, conformément au principe de l’unité de la procédure. A cet égard, il y a lieu de relever que le principe de l’unité de la procédure sert également les intérêts du prévenu en ce sens qu’il permet d’éviter une multitude de jugements, le prononcé d’une peine complémentaire ainsi que des frais supplémentaires (art. 49 al. 1 CP [Code pénal suisse du 21 décembre 1937 ; RS 311.1] ; Moreillon/Parein-Reymond, op. cit., nn. 3-4 ad art. 29 CPP). Pour le surplus, le recourant ne donne aucun motif précis, ni ne mentionne de raisons objectives qui justifieraient d’aller contre le principe consacré à l’art. 29 al. 1 CPP. Aucun motif objectif susceptible de justifier une instruction séparée ne ressort en outre du dossier. C’est dès lors à juste titre que le Ministère public a ordonné la jonction des causes.</w:t>
      </w:r>
    </w:p>
    <w:p>
      <w:r>
        <w:rPr>
          <w:b/>
        </w:rPr>
        <w:t>E. 3</w:t>
      </w:r>
    </w:p>
    <w:p>
      <w:r>
        <w:t>En définitive, le recours doit être rejeté, sans autre échange d’écritures (art. 390 al. 2 CPP), et l’ordonnance du 1 er juillet 2015 confirmée. Les frais de la procédure de recours, constitués en l’espèce du seul émolument d'arrêt (art. 422 al. 1 CPP), par 440 fr. (art. 20 al. 1 TFIP [tarif des frais de procédure et indemnités en matière pénale du 28 septembre 2010 ; RSV 312.03.1]), doivent être mis à la charge du recourant, qui succombe (art. 428 al. 1 CPP). Par ces motifs, la Chambre des recours pénale prononce : I. Le recours est rejeté. II. L’ordonnance du 1 er juillet 2015 est confirmée. III. Les frais d'arrêt, par 440 fr. (quatre cent quarante francs), sont mis à la charge de P.________. IV. Le présent arrêt est exécutoire. Le président : La greffière : Du Le présent arrêt, dont la rédaction a été approuvée à huis clos, est notifié, par l'envoi d'une copie complète, à : - M. P.________, - M. B.________, - M. [...], - Ministère public central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