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583 vom 5. August 2015</w:t>
      </w:r>
    </w:p>
    <w:p>
      <w:r>
        <w:t>VD Tribunal cantonal, 2015-08-05, FR</w:t>
      </w:r>
    </w:p>
    <w:p>
      <w:r>
        <w:rPr>
          <w:b/>
        </w:rPr>
        <w:t xml:space="preserve">Quelle: </w:t>
      </w:r>
      <w:r>
        <w:t>https://mcp.opencaselaw.ch/entscheid/vd_findinfo_D_cision___2015___583</w:t>
      </w:r>
    </w:p>
    <w:p>
      <w:r>
        <w:t>FR: VD_FINDINFO Décision / 2015 / 583 du 5 août 2015</w:t>
      </w:r>
    </w:p>
    <w:p>
      <w:r>
        <w:t>IT: VD_FINDINFO Décision / 2015 / 583 del 5 agosto 2015</w:t>
      </w:r>
    </w:p>
    <w:p>
      <w:pPr>
        <w:pStyle w:val="Heading2"/>
      </w:pPr>
      <w:r>
        <w:t>Regeste</w:t>
      </w:r>
    </w:p>
    <w:p>
      <w:r>
        <w:t>RISQUE DE COLLUSION | 221 al. 1 let. b CPP (CH), 237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l’art. 222, 1 re phrase, CPP prévoyant que le détenu peut attaquer devant l'autorité de recours les décisions ordonnant une mise en détention provisoire ou une mise en détention pour des motifs de sûreté ou encore la prolongation ou le terme de cette détention.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le recours a été interjeté en temps utile devant l’autorité compétente par le détenu, qui a qualité pour recourir (art. 382 al. 1 CPP), et dans les formes prescrites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w:t>
      </w:r>
    </w:p>
    <w:p>
      <w:r>
        <w:rPr>
          <w:b/>
        </w:rPr>
        <w:t>E. 2.2</w:t>
      </w:r>
    </w:p>
    <w:p>
      <w:r>
        <w:t>En l’espèce, le recourant ne conteste pas l’existence de soupçons suffisants de culpabilité. Ses moyens sont, pour l’essentiel, dirigés contre le risque de collusion retenu par le premier juge, danger que le prévenu tient pour non étayé vu sa collaboration à l’enquête et susceptible d’être pallié par les peines privatives de liberté exécutoires auxquelles il a été condamné. Quant aux risques de fuite et de réitération, il soutient qu’ils ne seraient pas réalisés s’il devait purger ces peines.</w:t>
      </w:r>
    </w:p>
    <w:p>
      <w:r>
        <w:rPr>
          <w:b/>
        </w:rPr>
        <w:t>E. 2.3</w:t>
      </w:r>
    </w:p>
    <w:p>
      <w:r>
        <w:t>Il doit d’abord être relevé d’office qu’il existe un faisceau d'indices accablants à la charge du prévenu, pour les deux infractions constituant l’objet de l’instruction (cf. ATF 137 IV 122 c. 3.2) .</w:t>
      </w:r>
    </w:p>
    <w:p>
      <w:r>
        <w:rPr>
          <w:b/>
        </w:rPr>
        <w:t>E. 2.4</w:t>
      </w:r>
    </w:p>
    <w:p>
      <w:r>
        <w:t>Le recourant reproche au Tribunal des mesures de contrainte de ne pas lui avoir permis d’exécuter, à titre de mesure de substitution à la détention provisoire, les peine privatives de liberté exécutoires prononcées à son encontre. Le prévenu doit encore exécuter des peines privatives de liberté à raison d’un total de 108 jours. Cette durée est supérieure à celle de la détention provisoire prononcée par l’ordonnance contestée. La peine privative de liberté dont il paraît passible dans la présente procédure pénale est d’une année au moins, s’agissant, cette fois, d’une infraction grave à la LStup, abstraction faite même du concours réel d’infractions avec le séjour illégal.</w:t>
      </w:r>
    </w:p>
    <w:p>
      <w:r>
        <w:rPr>
          <w:b/>
        </w:rPr>
        <w:t>E. 2.5</w:t>
      </w:r>
    </w:p>
    <w:p>
      <w:r>
        <w:t>Selon la jurisprudence, il convient d'examiner, conformément au principe de la proportionnalité (art. 36 al. 3 Cst. [Constitution fédérale de la Confédération suisse; RS 101]),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L'art. 237 al. 2 CPP énonce diverses mesures de substitution, de manière non exhaustive (Moreillon/Parein-Reymond, Petit commentaire CPP, Bâle 2013, n. 12 in initio ad art. 237 CPP).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 2.3; CREP 19 juin 2014/420 c. 4b).</w:t>
      </w:r>
    </w:p>
    <w:p>
      <w:r>
        <w:rPr>
          <w:b/>
        </w:rPr>
        <w:t>E. 2.6</w:t>
      </w:r>
    </w:p>
    <w:p>
      <w:r>
        <w:t>ci-dessus in initio ). De surcroît, les conditions légales de la détention provisoire sont alternatives, et non cumulatives (TF 1B_249/2011 du 7 juin 2011 c. 2.4). Le premier juge a néanmoins expressément tenus les risques de fuite et de réitération pour également donnés. Il peut dès lors être relevé, d’office et par surabondance, que le prévenu a un lourd passé délictueux, notamment en matière de stupéfiants. Compte tenu en outre qu’il est dépourvu de moyens d’existence légaux, tout porte à croire qu’il retombera dans la délinquance s’il devait être libéré, s’agissant de nouveaux crimes ou délits graves compromettant sérieusement la sécurité d’autrui. Le risque de réitération est donc également donné.</w:t>
      </w:r>
    </w:p>
    <w:p>
      <w:r>
        <w:rPr>
          <w:b/>
        </w:rPr>
        <w:t>E. 2.7</w:t>
      </w:r>
    </w:p>
    <w:p>
      <w:r>
        <w:t>Le recourant ne concluant pas à sa libération immédiate, il apparaît sans objet d’examiner les risques de fuite et de réitération, auxquels la détention est, sous toutes ses formes, à même de remédier (cf. c.</w:t>
      </w:r>
    </w:p>
    <w:p>
      <w:r>
        <w:rPr>
          <w:b/>
        </w:rPr>
        <w:t>E. 2.8</w:t>
      </w:r>
    </w:p>
    <w:p>
      <w:r>
        <w:t>Enfin, même si le recourant ne conteste pas la proportionnalité (art. 212 al. 3 CPP) entre la détention provisoire déjà subie, respectivement à subir jusqu’au 12 octobre 2015, et la quotité de la peine privative de liberté susceptible d’être prononcée, il y a lieu de rappeler qu’au vu des actes qui lui sont reprochés, il s'expose à une peine privative de liberté d’une durée manifestement supérieure à celle de la détention avant jugement subie à ce jour, respectivement à subir. Le principe de la proportionnalité demeure donc respecté (ATF 133 I 168 c. 4.1 et les arrêts cités; ATF 132 I 21 c. 4.1; TF 1B_411/2011 du 31 août 2011 c. 4.1).</w:t>
      </w:r>
    </w:p>
    <w:p>
      <w:r>
        <w:rPr>
          <w:b/>
        </w:rPr>
        <w:t>E. 3</w:t>
      </w:r>
    </w:p>
    <w:p>
      <w:r>
        <w:t>Il résulte de ce qui précède que le recours doit être rejeté et l’ordonnance du 15 juillet 2015 confirmée.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15 juillet 2015 est confirmée. III. L’indemnité allouée au défenseur d'office d’G.________ est fixée à 486 fr. (quatre cent huitante-six francs). IV. Les frais du présent arrêt, par 880 fr. (huit cent huitante francs), ainsi que l’indemnité due au défenseur d’office d’G.________, par 486 fr. (quatre cent huitante-six francs), sont mis à la charge de ce dernier. V. Le remboursement à l'Etat de l'indemnité allouée au chiffre III ci-dessus ne sera exigible que pour autant que la situation économique d’G.________ se soit améliorée. VI. Le présent arrêt est exécutoire. Le juge présidant :              Le greffier : Du L'arrêt qui précède, dont la rédaction a été approuvée à huis clos, est notifié, par l'envoi d'une copie complète, à : - M. Laure-Marine Bonnard, avocate (pour G.________), - Ministère public central, et communiqué à : - M. le Président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