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577 vom 3. August 2015</w:t>
      </w:r>
    </w:p>
    <w:p>
      <w:r>
        <w:t>VD Tribunal cantonal, 2015-08-03, FR</w:t>
      </w:r>
    </w:p>
    <w:p>
      <w:r>
        <w:rPr>
          <w:b/>
        </w:rPr>
        <w:t xml:space="preserve">Quelle: </w:t>
      </w:r>
      <w:r>
        <w:t>https://mcp.opencaselaw.ch/entscheid/vd_findinfo_D_cision___2015___577</w:t>
      </w:r>
    </w:p>
    <w:p>
      <w:r>
        <w:t>FR: VD_FINDINFO Décision / 2015 / 577 du 3 août 2015</w:t>
      </w:r>
    </w:p>
    <w:p>
      <w:r>
        <w:t>IT: VD_FINDINFO Décision / 2015 / 577 del 3 agosto 2015</w:t>
      </w:r>
    </w:p>
    <w:p>
      <w:pPr>
        <w:pStyle w:val="Heading2"/>
      </w:pPr>
      <w:r>
        <w:t>Regeste</w:t>
      </w:r>
    </w:p>
    <w:p>
      <w:r>
        <w:t>INTÉRÊT JURIDIQUEMENT PROTÉGÉ, DÉCISION D'IRRECEVABILITÉ | 382 al. 1 CPP (CH)</w:t>
      </w:r>
    </w:p>
    <w:p>
      <w:pPr>
        <w:pStyle w:val="Heading2"/>
      </w:pPr>
      <w:r>
        <w:t>Erwägungen</w:t>
      </w:r>
    </w:p>
    <w:p>
      <w:r>
        <w:rPr>
          <w:b/>
        </w:rPr>
        <w:t>E. 3</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4 juin 2015, l’ordonnance attaquée a été envoyée aux parties le 8 juin suivant, sous plis simples. Le pli adressé au recourant ayant été reçu par son destinataire le jeudi 11 juin 2015 selon l’allégué crédible de la partie, le recours a été interjeté dans le délai légal (art. 322 al. 2 CPP), le terme échéant le dimanche 21 juin 2015 étant reporté au premier jour ouvrable suivant (art. 90 al. 2, 1 re phrase, CPP). Le recours a de surcroît été déposé auprès de l’autorité compétente. Cela étant, pour que le recours soit formellement recevable, encore faut-il que le prévenu ait la qualité pour recourir.</w:t>
      </w:r>
    </w:p>
    <w:p>
      <w:r>
        <w:rPr>
          <w:b/>
        </w:rPr>
        <w:t>E. 4</w:t>
      </w:r>
    </w:p>
    <w:p>
      <w:r>
        <w:t>En vertu de l'art. 382 al. 1 CPP, toute partie qui a un intérêt juridiquement protégé à l'annulation ou à la modification d'une décision a qualité pour recourir contre celle-ci. Il découle de cette disposition que le recourant n’est au bénéfice d’un intérêt juridiquement protégé que s’il est directement atteint, c’est-à-dire lésé, dans ses droits par la décision attaquée (Calame, in : Kuhn/Jeanneret [éd.], Commentaire romand, Code de procédure pénale suisse, 2011, n. 2 ad art. 382 CPP). La qualité pour recourir suppose un intérêt actuel et pratique à obtenir l'annulation de la décision attaquée (TF 1B_111/2010 du 7 mai 2010 c. 1 et les arrêts cités; Ziegler/ Keller, in : Niggli/Heer/Wiprächtiger [éd.], Basler Kommentar, Schweizerische Strafprozessordnung, Jugendstrafprozessordnung, Art. 196-457 StPO – Art. 1-54 JStPO, 2 e éd., Bâle 2014, n. 2 ad art. 382 CPP; Calame, op. cit., n. 1 ad art. 382 CPP). Cet intérêt ne se détermine qu’en fonction du dispositif de la décision litigieuse, au sens de l’art. 81 al. 1 let. c CPP, et non de ses motifs. En effet, c’est du dispositif qu’émanent les effets de la décision. C’est ainsi lui qui jouit de l’autorité de la chose jugée et qui atteint la partie au procès dans ses droits (Calame, op. cit., n. 4 ad art. 382 CPP; Lieber, in : Donatsch/Hansjakob/Lieber [éd.], Kommentar zur Schweizerischen Strafprozessordnung, 2 e éd., Zurich/Bâle 2014, nn. 8 et 9 ad art. 382 CPP; Piquerez/Macaluso, Procédure pénale suisse, 3 e éd., Genève/Zurich/Bâle 2011, nn. 1907 et 1910, avec n. infrapaginale 819). En revanche, la motivation de la décision, si elle peut violer le droit ou être défavorable à une partie, ne contient pas l'élément matériel caractéristique qu'est la conséquence juridique (Calame, op. cit., n. 4 ad art. 382 CPP; Lieber, op. cit., n. 9 ad art. 382 CPP). Elle n'est donc pas susceptible d'être entreprise par un recours (TF 4C.98/2007 du 29 avril 2008 c. 3.1.1; TF 6P.42/2006 et 6S.82/2006 du 15 mai 2006 c. 3.1; CREP 19 mars 2012/153; CREP 25 octobre 2011/438; ). L'intérêt au recours relève de la recevabilité et non du bien-fondé du recours (CREP 8 novembre 2011/498; Calame, op. cit., n. 3 ad art. 382 CPP).</w:t>
      </w:r>
    </w:p>
    <w:p>
      <w:r>
        <w:rPr>
          <w:b/>
        </w:rPr>
        <w:t>E. 5</w:t>
      </w:r>
    </w:p>
    <w:p>
      <w:r>
        <w:t>En l’espèce, il ressort des moyens articulés que le recourant ne conteste pas le dispositif de l'ordonnance attaquée, qui lui est entièrement favorable. En outre, il ne critique pas le refus de lui allouer une indemnité à forme de l’art. 429 CPP. Bien plutôt, il se limite à mettre en cause les motifs du classement et les faits retenus dans l’ordonnance, de toute évidence en prévision de son futur renvoi en jugement pour répondre de faits impliquant la même plaignante. Les moyens invoqués, seraient-ils même établis en fait, ne sauraient justifier l'annulation ou la modification de l'ordonnance entreprise au vu des principes ci-dessus, le prévenu obtenant entièrement gain de cause au vu du dispositif de l’ordonnance qu’il prétend contester. Partant, il n'existe pas d'intérêt au recours faute pour la loi de permettre le recours sur les motifs.</w:t>
      </w:r>
    </w:p>
    <w:p>
      <w:r>
        <w:rPr>
          <w:b/>
        </w:rPr>
        <w:t>E. 6</w:t>
      </w:r>
    </w:p>
    <w:p>
      <w:r>
        <w:t>En définitive, le recours, manifestement irrecevable, doit être écarté sans autres échanges d’écritures (art. 390 al. 2 CPP). Les frais de la procédure de recours, constitués en l'espèce de l'émolument d’arrêt, par 440 fr. (art. 20 al. 1 TFIP [Tarif des frais de procédure et indemnités en matière pénale du 28 septembre 2010; RSV 312.03.1]), seront mis à la charge du recourant, qui succombe, étant précisé que la partie dont le recours est irrecevable est également considérée avoir succombé (art. 428 al. 1, spéc. seconde phrase, CPP). Par ces motifs, la Chambre des recours pénale prononce : I. Le recours est irrecevable. II. Les frais de la procédure de recours, par 440 fr. (quatre cent quarante francs), sont mis à la charge de W.________. III. Le présent arrêt est exécutoire. Le président :               Le greffier : Du Le présent arrêt, dont la rédaction a été approuvée à huis clos, est notifié, par l'envoi d'une copie complète, à : - M. Alain Vuithier, avocat (pour [...]), - M.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