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574 vom 31. Juli 2015</w:t>
      </w:r>
    </w:p>
    <w:p>
      <w:r>
        <w:t>VD Tribunal cantonal, 2015-07-31, FR</w:t>
      </w:r>
    </w:p>
    <w:p>
      <w:r>
        <w:rPr>
          <w:b/>
        </w:rPr>
        <w:t xml:space="preserve">Quelle: </w:t>
      </w:r>
      <w:r>
        <w:t>https://mcp.opencaselaw.ch/entscheid/vd_findinfo_D_cision___2015___574</w:t>
      </w:r>
    </w:p>
    <w:p>
      <w:r>
        <w:t>FR: VD_FINDINFO Décision / 2015 / 574 du 31 juillet 2015</w:t>
      </w:r>
    </w:p>
    <w:p>
      <w:r>
        <w:t>IT: VD_FINDINFO Décision / 2015 / 574 del 31 luglio 2015</w:t>
      </w:r>
    </w:p>
    <w:p>
      <w:pPr>
        <w:pStyle w:val="Heading2"/>
      </w:pPr>
      <w:r>
        <w:t>Regeste</w:t>
      </w:r>
    </w:p>
    <w:p>
      <w:r>
        <w:t>OPPOSITION TARDIVE, DROIT D'ÊTRE ENTENDU | 354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RS 312.0]), déclare l'opposition irrecevable, par exemple pour cause de tardiveté, est susceptible de recours selon les art. 393 ss CPP (Gilliéron/Killias, in : Kuhn/ Jeanneret [éd.], Commentaire romand, Code de procédure pénale suisse, Bâle 2011, n. 5 ad art. 356 CPP; Riklin, in : Niggli/ Heer/Wiprächtiger [éd.], Basler Kommentar, Schweizerische Strafprozessordnung, Jugendstrafprozessordnung,</w:t>
      </w:r>
    </w:p>
    <w:p>
      <w:r>
        <w:rPr>
          <w:b/>
        </w:rPr>
        <w:t>E. 1.2</w:t>
      </w:r>
    </w:p>
    <w:p>
      <w:r>
        <w:t>L'art. 395 let. a CPP prévoit que, si l’autorité de recours est un tribunal collégial – ce qui est le cas de la Chambre des recours pénale, laquelle statue à trois juges (art. 67 al. 1 let. 1 LOJV; art. 12 al. 1 ROTC [règlement organique du Tribunal cantonal; RSV 173.31.1) –, sa direction de la procédure statue seule sur le recours lorsqu’il porte exclusivement sur des contraventions. En tel cas, c'est un juge de la Chambre des recours pénale qui est compétent pour statuer en tant que juge unique (art. 13 al. 2 LVCPP [loi d’introduction du code de procédure pénale suisse; RSV 312.01]). En l’espèce, l'ordonnance pénale du 10 juin 2015 réprime en particulier la violation des art. 29, 37 al. 3 LCR, ainsi que des art. 3 al. 4 let. a, 22 al. 1 à 3 et 57 al. 1 OCR (ordonnance sur les règles de la circulation routière; RS 741.11). Il s'agit de contraventions. Le prononcé attaqué a pour seul objet l'ordonnance pénale. Partant, la cause ressortit à la compétence du juge unique.</w:t>
      </w:r>
    </w:p>
    <w:p>
      <w:r>
        <w:rPr>
          <w:b/>
        </w:rPr>
        <w:t>E. 2</w:t>
      </w:r>
    </w:p>
    <w:p>
      <w:r>
        <w:t>e éd., Bâle 2014, n. 2 ad art. 356 CPP; CREP 30 décembre 2014/925;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prévenu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(CREP 24 septembre 2014/695; CREP 11 août 2014/499). Elle est tardive si elle a été formée après le délai de dix jours prévu par l'art. 354 al. 1 CPP.</w:t>
      </w:r>
    </w:p>
    <w:p>
      <w:r>
        <w:rPr>
          <w:b/>
        </w:rPr>
        <w:t>E. 2.2</w:t>
      </w:r>
    </w:p>
    <w:p>
      <w:r>
        <w:t>Selon l’art. 85 al. 3, 1 re phrase, CPP, le prononcé est réputé notifié lorsqu'il a été remis au destinataire, à l'un de ses employés ou à toute personne de plus de seize ans vivant dans le même ménage.</w:t>
      </w:r>
    </w:p>
    <w:p>
      <w:r>
        <w:rPr>
          <w:b/>
        </w:rPr>
        <w:t>E. 2.3</w:t>
      </w:r>
    </w:p>
    <w:p>
      <w:r>
        <w:t>Le recourant fait valoir d’abord que l’ordonnance pénale ne lui avait été notifiée que par pli sous courrier B reçu le 23 juin 2015. Il ne fournit aucun moyen ou offre de preuve à l’appui de cet allégué. Il considère que la preuve de la date de la notification incombe à l’autorité, laquelle aurait dès lors à supporter les conséquences de l’absence de preuve. Il se prévaut ensuite d’une violation de son droit d’être entendu en soutenant que la préfète, puis le tribunal d’arrondissement, n’avaient pas donné suite à ses demandes de lui adresser le dossier pour consultation.</w:t>
      </w:r>
    </w:p>
    <w:p>
      <w:r>
        <w:rPr>
          <w:b/>
        </w:rPr>
        <w:t>E. 2.4</w:t>
      </w:r>
    </w:p>
    <w:p>
      <w:r>
        <w:t>Il ressort du procès-verbal des opérations de la préfecture que l’ordonnance pénale a été adressée à son destinataire le jour même où elle a été rendue, à savoir le 10 juin 2015, sous courrier B. Le délai de recours de dix jours – qui ne peut être prolongé (art. 89 al. 1 CPP) – commence à courir le jour qui suit la notification de l’ordonnance entreprise (art. 90 al. 1 et 384 let. b CPP; Calame, in : Kuhn/Jeanneret [éd.], op. cit.,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in : Kuhn/Jeanneret [éd.], op. cit., n. 4 ad art. 384 CPP). Selon la jurisprudence, lorsqu’une partie admet avoir reçu une décision, on peut présumer que celle-ci lui est parvenue dans un laps de temps normal. L’autorité est alors dispensée d’apporter la preuve qui lui incombe, pour autant que les circonstances particulières ne conduisent pas à renverser cette présomption (ATF 85 II 187 c. 1, JT 1960 I 78; CREP 12 mars 2012/154). En ce qui concerne le délai d’acheminement postal,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La Poste pour vous » valable dès le 1 er avril 2012 (p. 5), comme selon les brochures antérieures intitulées « Lettres Suisse », le courrier B posté en Suisse est distribué « au plus tard le 3 e jour ouvrable suivant le dépôt (sans le samedi) » (cf. TA PS.93.0052 du 6 avril 1994 et PS.96.0347 du 15 avril 1997; CREP 11 septembre 2014/668 c. 1.1; CREP 12 mars 2012/154; CREP 26 mai 2011/191). En l’espèce, le procès-verbal des opérations a force probante. Aucun élément ne permet ainsi de retenir que l’ordonnance n’aurait pas été expédiée à la date indiquée, à savoir celle de la prise de la décision. On se trouve ainsi dans l’hypothèse, conforme à l’expérience générale, dans laquelle le cours ordinaire des opérations de l’autorité implique d’envoyer une décision le jour même auquel elle est rendue; a contrario, même si on ne saurait par principe tenir pour établi que la date d’une décision corresponde à celle de son envoi (ATF 103 V 63 c. 2b; CREP, arrêts précités), la date d’expédition n’en est pas moins établie par la mention au procès-verbal dans le cas particulier. Il doit dès lors être retenu en fait que l’ordonnance frappée d’opposition, expédiée le 10 juin 2015, est parvenue au prévenu au plus tard le lundi 15 juin 2015, le courrier B n’étant pas distribué le samedi, comme cela ressort de la brochure d’information déjà citée. Formée le 2 juillet 2015 seulement, l’opposition est dès lors tardive (art. 91 al. 1 et 2 CPP).</w:t>
      </w:r>
    </w:p>
    <w:p>
      <w:r>
        <w:rPr>
          <w:b/>
        </w:rPr>
        <w:t>E. 2.5</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et à l'autorité de recours d'exercer utilement son contrôle (ATF 138 I 232 c. 5.1 et les références citées). Le droit d'accès au dossier de la partie découle en principe du droit d'être entendu (ATF 139 IV 294 c. 4.2 p. 299). Le droit d'être entendu est une garantie constitutionnelle de caractère formel, dont la violation doit entraîner l'annulation de la décision, indépendamment des chances de succès du recours sur le fond (ATF 135 I 187 c.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 2.3.2; TF 1B_524/2012 du 15 novembre 2012 c. 2.1; CREP 6 mars 2015/6 mars 2015 c. 2.2). Tel est le cas de la Chambre des recours pénale. Dans le cas particulier, le prévenu a eu toute latitude pour consulter le dossier auprès du tribunal d’arrondissement, soit entre l’envoi des pièces par le Ministère public à l’autorité judiciaire et le prononcé entrepris. Quoi qu’il en soit, l’informalité alléguée peut être réparée dans le cadre de la présente procédure de recours, dès lors que l'irrégularité n'est pas particulièrement grave et que le prévenu a eu la possibilité de s'exprimer et de recevoir une décision motivée de la part de l'autorité de recours qui, comme la Cour de céans respectivement le Juge unique de celle-ci, dispose d'un pouvoir d'examen complet en fait et en droit (arrêts précités).</w:t>
      </w:r>
    </w:p>
    <w:p>
      <w:r>
        <w:rPr>
          <w:b/>
        </w:rPr>
        <w:t>E. 3</w:t>
      </w:r>
    </w:p>
    <w:p>
      <w:r>
        <w:t>En définitive, le recours, manifestement mal fondé, doit être rejeté sans autres échanges d’écritures (art. 390 al. 2 CPP) et le prononcé du 20 juillet 2015 confirmé. Les frais de la procédure de recours, constitués en l’espèce du seul émolument d'arrêt (art. 422 al. 1 CPP), par 630 fr. (art. 20 al. 1 TFIP [Tarif des frais de procédure et indemnités en matière pénale du 28 septembre 2010; RSV 312.03.1]), seront mis à la charge du recourant, qui succombe (art. 428 al. 1 CPP). Par ces motifs, le juge unique prononce : I. Le recours est rejeté. II. Le prononcé du 20 juillet 2015 est confirmé. III. Les frais d’arrêt, par 630 fr. (six cent trente francs), sont mis à la charge du recourant. IV. Le présent arrêt est exécutoire. Le juge unique :               Le greffier : Du Le présent arrêt, dont la rédaction a été approuvée à huis clos, est notifié, par l'envoi d'une copie complète, à : - M. Tony Donnet-Monay, avocat (pour Z.________), - Ministère public central, et communiqué à : ‑ M. le Président du Tribunal d’arrondissement de Lausanne,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