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566 vom 17. Juli 2015</w:t>
      </w:r>
    </w:p>
    <w:p>
      <w:r>
        <w:t>VD Tribunal cantonal, 2015-07-17, FR</w:t>
      </w:r>
    </w:p>
    <w:p>
      <w:r>
        <w:rPr>
          <w:b/>
        </w:rPr>
        <w:t xml:space="preserve">Quelle: </w:t>
      </w:r>
      <w:r>
        <w:t>https://mcp.opencaselaw.ch/entscheid/vd_findinfo_D_cision___2015___566</w:t>
      </w:r>
    </w:p>
    <w:p>
      <w:r>
        <w:t>FR: VD_FINDINFO Décision / 2015 / 566 du 17 juillet 2015</w:t>
      </w:r>
    </w:p>
    <w:p>
      <w:r>
        <w:t>IT: VD_FINDINFO Décision / 2015 / 566 del 17 luglio 2015</w:t>
      </w:r>
    </w:p>
    <w:p>
      <w:pPr>
        <w:pStyle w:val="Heading2"/>
      </w:pPr>
      <w:r>
        <w:t>Regeste</w:t>
      </w:r>
    </w:p>
    <w:p>
      <w:r>
        <w:t>DEMANDE ADRESSÉE À L'AUTORITÉ, RÉCUSATION | 56 CPP</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le requérant à l’encontre de la Procureure (art. 13 de la loi d’introduction du code de procédure pénale suisse [LVCPP]; RSV 312.01).</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TF 6B_629/2011 du 19 décembre 2011 c.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(ATF 126 I 68 c. 3a; TF 1B_629/2011 précité c. 2.1 et la référence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 3.2.1; ATF 134 I 20 c. 4.2; TF 1B_105/2013 du 21 mai 2013 c. 2.1).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w:t>
      </w:r>
    </w:p>
    <w:p>
      <w:r>
        <w:rPr>
          <w:b/>
        </w:rPr>
        <w:t>E. 2.2</w:t>
      </w:r>
    </w:p>
    <w:p>
      <w:r>
        <w:t>En l'espèce, par une argumentation confuse, le requérant fait valoir que la différence entre ses revenus et ceux de la procureure constituerait un motif de prévention en sa défaveur. Malgré son imprécision, la motivation de la requête de récusation permet de comprendre qu’elle ne se fonde que sur des motifs d’ordre général, à savoir des différences de revenus. En effet, le requérant se prévaut de ce que les ressources économiques dont disposerait la procureure par la rétribution attachée à sa fonction seraient analogues à celles de la plaignante et du syndic de la commune, alors que, pour sa part, il serait tributaire de l’aide sociale. Aucune mesure qu’aurait prise, ou omis de prendre, la magistrate n’est en cause.</w:t>
      </w:r>
    </w:p>
    <w:p>
      <w:r>
        <w:rPr>
          <w:b/>
        </w:rPr>
        <w:t>E. 2.3</w:t>
      </w:r>
    </w:p>
    <w:p>
      <w:r>
        <w:t>Seuls des actes qualifiés, dont on doit déduire une prévention ou une apparence de prévention, peuvent donner lieu à récusation. Tel n’est, à l’évidence, pas le cas de conditions générales relatives au statut socio-économique d’un magistrat par rapport à celui d’un justiciable. A l’inverse, on ajoutera du reste qu’il peut arriver, notamment en matière de droit économique, que le magistrat soit d’un statut social inférieur à celui des parties à la procédure qu’il dirige, ce qui ne saurait davantage constituer un motif de récusation. Il tombe sous le sens qu’il n’existe aucun motif qui commanderait la récusation de la procureure, ni du reste celle du Ministère public du canton de Vaud comme autorité.</w:t>
      </w:r>
    </w:p>
    <w:p>
      <w:r>
        <w:rPr>
          <w:b/>
        </w:rPr>
        <w:t>E. 3</w:t>
      </w:r>
    </w:p>
    <w:p>
      <w:r>
        <w:t>En définitive, la demande de récusation présentée le 15 juillet 2015 par C.________ doit être rejetée. Les frais de procédure, constitués en l’espèce du seul émolument de décision, par 550 fr. (art. 20 al. 1 TFIP [Tarif des frais de procédure et indemnités en matière pénale du 28 septembre 2010; RSV 312.03.1]), seront mis à la charge du requérant, dont la demande est rejetée (art. 59 al. 4, seconde phrase, CPP). Par ces motifs, la Chambre des recours pénale prononce : I. La demande de récusation présentée le 15 juillet 2015 par C.________ à l’encontre de la Procureure [...] est rejetée. II. Les frais de la présente décision, par 550 fr. (cinq cent cinquante francs), sont mis à la charge de C.________. III. La présente décision est exécutoire. Le président :               Le greffier : Du La décision qui précède, dont la rédaction a été approuvée à huis clos, est notifiée, par l'envoi d'une copie complète, à : - M. C.________, - Ministère public central; et communiquée à : ‑ Mme la Procureure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