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562 vom 24. August 2015</w:t>
      </w:r>
    </w:p>
    <w:p>
      <w:r>
        <w:t>VD Tribunal cantonal, 2015-08-24, FR</w:t>
      </w:r>
    </w:p>
    <w:p>
      <w:r>
        <w:rPr>
          <w:b/>
        </w:rPr>
        <w:t xml:space="preserve">Quelle: </w:t>
      </w:r>
      <w:r>
        <w:t>https://mcp.opencaselaw.ch/entscheid/vd_findinfo_D_cision___2015___562</w:t>
      </w:r>
    </w:p>
    <w:p>
      <w:r>
        <w:t>FR: VD_FINDINFO Décision / 2015 / 562 du 24 août 2015</w:t>
      </w:r>
    </w:p>
    <w:p>
      <w:r>
        <w:t>IT: VD_FINDINFO Décision / 2015 / 562 del 24 agosto 2015</w:t>
      </w:r>
    </w:p>
    <w:p>
      <w:pPr>
        <w:pStyle w:val="Heading2"/>
      </w:pPr>
      <w:r>
        <w:t>Regeste</w:t>
      </w:r>
    </w:p>
    <w:p>
      <w:r>
        <w:t>SUPPRESSION{EN GÉNÉRAL}, SÉQUESTRE{MESURE PROVISIONNELLE} | 267 al. 1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respectivement de refus de levée de séquestre, rendue par le ministère public dans le cadre de la procédure préliminaire est ainsi susceptible de recours selon les art. 393 ss CPP (Moreillon/Parein-Reymond, Petit Commentaire du Code de procédure pénale, Bâle 2013, n. 24 ad art. 263 CPP; Lembo/Julen Berthod, in : Kuhn/Jeanneret [éd.], Commentaire romand, Code de procédure pénale suisse, Bâle 2011, n. 4 ad art. 267 CPP; CREP 11 février 2015/109 c. 1; CREP 19 janvier 2011/5).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dans le délai légal auprès de l’autorité compétente, par la partie dont le patrimoine est grevé du séquestre, qui a qualité pour recourir (art. 382 al. 1 CPP), et dans les formes prescrites (art. 385 al. 1 CPP), de sorte qu’il est recevable, sous réserve des conclusions en annulation déduites d’une violation du droit d’être entendu et de celles portant sur le droit d’accès au dossier (cf. c. 2.1 et 2.2 ci-dessous).</w:t>
      </w:r>
    </w:p>
    <w:p>
      <w:r>
        <w:rPr>
          <w:b/>
        </w:rPr>
        <w:t>E. 2.1</w:t>
      </w:r>
    </w:p>
    <w:p>
      <w:r>
        <w:t>La recourante semble tout d’abord se plaindre de ce que l’ordonnance de séquestre initiale ne serait pas motivée et qu’elle ne lui aurait été notifiée que par courrier du 21 mai 2015; elle y voit une violation de son droit d’être entendue et paraît en conclure qu’il conviendrait de rendre une nouvelle ordonnance pour « corriger ce vice de forme » (recours, p. 5). Il est vrai que l’ordonnance du 11 décembre 2014 n’est pas motivée. Il et vrai aussi qu’aucune pièce du dossier n’établit que l’ordre de blocage bancaire ait été communiqué à la recourante avant le 21 mai 2015 (P. 20). Le représentant de la recourante avait toutefois connaissance de ce séquestre depuis le 14 avril 2015 à tout le moins (P. 13). Il devait dès lors, en vertu du principe de la bonne foi, se renseigner quant à l’existence et au contenu de l’ordonnance, sous peine de se voir opposer l’irrecevabilité d’un éventuel moyen pour cause de tardiveté (ATF 139 IV 228 c. 1.3 et les réf. citées). La recourante ne peut donc plus, dans le cadre d’un recours déposé le 26 mai 2015 seulement, remettre en cause l’ordonnance de séquestre initiale, fût-elle insuffisamment motivée au regard des exigences de l’art. 263 al. 2 CPP. Le moyen déduit d’une violation du droit d’être entendu est donc irrecevable.</w:t>
      </w:r>
    </w:p>
    <w:p>
      <w:r>
        <w:rPr>
          <w:b/>
        </w:rPr>
        <w:t>E. 2.2</w:t>
      </w:r>
    </w:p>
    <w:p>
      <w:r>
        <w:t>La recourante conclut également à être autorisée à consulter le dossier. Cette demande a été rejetée par le Procureur par ordonnance du 27 avril 2014 déjà (P. 14 précitée). Le recours est donc, sur ce point, irrecevable pour cause de tardiveté.</w:t>
      </w:r>
    </w:p>
    <w:p>
      <w:r>
        <w:rPr>
          <w:b/>
        </w:rPr>
        <w:t>E. 2.3</w:t>
      </w:r>
    </w:p>
    <w:p>
      <w:r>
        <w:t>La recourante conteste ensuite le refus du procureur de lever le séquestre ordonné par les autorités fribourgeoises.</w:t>
      </w:r>
    </w:p>
    <w:p>
      <w:r>
        <w:rPr>
          <w:b/>
        </w:rPr>
        <w:t>E. 2.3.1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Comme cela ressort de la lettre de l’art. 263 al. 1 CPP, le séquestre est une mesure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 2.1; TF 1B_127/2013 du 1er mai 2013 c. 2; CREP 13 août 2014/551). Cependant, le degré de probabilité exigé variera selon l’avancement de la procédure; ainsi, il importe que les présomptions se renforcent au cours de l’enquête et que l’existence d’un lien de causalité adéquate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 CREP 1 er octobre 2014/539). L’art. 267 al. 1 CPP dispose que si le motif du séquestre disparaît, le ministère public ou le tribunal lève la mesure et restitue les objets et valeurs patrimoniales à l'ayant droit.</w:t>
      </w:r>
    </w:p>
    <w:p>
      <w:r>
        <w:rPr>
          <w:b/>
        </w:rPr>
        <w:t>E. 2.3.2</w:t>
      </w:r>
    </w:p>
    <w:p>
      <w:r>
        <w:t>En l’espèce, les plaignants, s’agissant en particulier de l’intimée, se disent victimes, entre autres infractions, d’une escroquerie et d’une tentative d’abus de confiance. Ils affirment avoir versé à la recourante la somme de 150'000 fr. sur la base d’un « contrat de collaboration » signé le 15 octobre 2014. La signature de ce contrat n’aurait eu lieu qu’en raison de la participation d’un tiers au projet échafaudé par les parties. Le tiers en question, à savoir un nommé [...], aurait toutefois été licencié par la recourante peu après le versement des 150'000 francs. En tout état de cause, cet acompte aurait, toujours selon les plaignants, dû être reversé à une société tierce, dont la raison sociale serait [...]. Or, le « contrat de collaboration » du 15 octobre 2014, sur lequel l’intimée fonde ses griefs à l’encontre des prévenus, ne prévoyait pas le versement d’un acompte en faveur de la recourante, ni même de tout montant à quelque titre que ce soit. A fortiori, l’accord ne prévoyait pas le transfert à une société tierce d’un éventuel acompte encaissé par la recourante en qualité d’intermédiaire. Le montant de 150'000 fr. versé à la recourante a par ailleurs été débité du compte personnel du plaignant avec la mention « acompte n° 1 sur achat machine » (déclaration de débit bancaire du 14 décembre 2014 précitée). Cette mention paraît exclure aussi bien toute référence au contrat du 15 octobre 2014 qu’une prétendue qualité d’intermédiaire de la bénéficiaire du versement. Partant, on ne saurait admettre l’existence d’un lien entre le versement de cet acompte de 150'000 fr. et le « contrat de collaboration » passé entre parties, pas plus qu’avec d’éventuelles manœuvres dolosives qui auraient conduit à la signature de cet accord. On doit donc considérer que les plaignants n’ont, même à ce stade de la procédure, produit aucune pièce susceptible d’étayer l’existence de soupçons de commission d’une infraction et, partant, de justifier le maintien du séquestre.</w:t>
      </w:r>
    </w:p>
    <w:p>
      <w:r>
        <w:rPr>
          <w:b/>
        </w:rPr>
        <w:t>E. 2.4</w:t>
      </w:r>
    </w:p>
    <w:p>
      <w:r>
        <w:t>Les conditions du maintien du séquestre n’apparaissant plus réunies, il y a lieu de lever la mesure conformément à l’art. 267 al. 1 CPP.</w:t>
      </w:r>
    </w:p>
    <w:p>
      <w:r>
        <w:rPr>
          <w:b/>
        </w:rPr>
        <w:t>E. 3</w:t>
      </w:r>
    </w:p>
    <w:p>
      <w:r>
        <w:t>En définitive, le recours doit être admis dans la mesure où il est recevable et l’ordonnance de refus de levée de séquestre du 13 mai 2015 réformée en ce sens que le séquestre est levé. Les frais de la procédure de recours, constitués en l'espèce de l'émolument d'arrêt, par 770 fr. (art. 20 al. 1 TFIP [tarif des frais de procédure et indemnités en matière pénal du 28 septembre 2010; RSV 312.03.1]), seront mis à la charge des parties qui ont procédé, dans la mesure où elles obtiennent gain de cause, respectivement succombent (art. 428 al. 1 CPP). A cet égard, la recourante succombe sur ses conclusions en annulation pour violation du droit d’être entendu ainsi que sur celles portant sur le droit d’accès au dossier, déclarées irrecevables, tout comme l’intimée succombe dans la mesure où elle a conclu au maintien du séquestre, tenant toujours ses conditions pour remplies lors de la présente procédure. Ce qui précède commande de mettre les frais pour les deux tiers à la charge de la recourante et pour un tiers à la charge de l’intimée. S’agissant des dépens réclamés par la recourante, cette dernière aura la possibilité, à la fin de la procédure, de formuler ses prétentions auprès de l’autorité pénale compétente selon l’art. 433 al. 2 CPP (CREP 16 avril 2013/279 c. 4 et les références citées). Par ces motifs, la Chambre des recours pénale prononce : I. Le recours est admis dans la mesure où il est recevable. II. L’ordonnance de refus de levée de séquestre du 13 mai 2015 est réformée en ce sens que le séquestre ordonné le 11 décembre 2014 est levé. III. Les frais d’arrêt, par 770 fr. (sept cent septante francs), sont mis pour les deux tiers, soit par 513 fr. 35 (cinq cent treize francs et trente-cinq centimes), à la charge de la recourante B.________ et pour un tiers, soit par 256 fr. 65 (deux cent cinquante-six francs et soixante-cinq centimes), à la charge de l’intimée P.________. IV. Le présent arrêt est exécutoire. Le président : Le greffier : Du Le présent arrêt, dont la rédaction a été approuvée à huis clos, est notifié, par l'envoi d'une copie complète, à : - M. Frédéric Hainard, avocat (pour B.________), - M. Stefano Fabbro, avocat (pour P.________), - M.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