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554 vom 23. Juli 2015</w:t>
      </w:r>
    </w:p>
    <w:p>
      <w:r>
        <w:t>VD Tribunal cantonal, 2015-07-23, FR</w:t>
      </w:r>
    </w:p>
    <w:p>
      <w:r>
        <w:rPr>
          <w:b/>
        </w:rPr>
        <w:t xml:space="preserve">Quelle: </w:t>
      </w:r>
      <w:r>
        <w:t>https://mcp.opencaselaw.ch/entscheid/vd_findinfo_D_cision___2015___554</w:t>
      </w:r>
    </w:p>
    <w:p>
      <w:r>
        <w:t>FR: VD_FINDINFO Décision / 2015 / 554 du 23 juillet 2015</w:t>
      </w:r>
    </w:p>
    <w:p>
      <w:r>
        <w:t>IT: VD_FINDINFO Décision / 2015 / 554 del 23 luglio 2015</w:t>
      </w:r>
    </w:p>
    <w:p>
      <w:pPr>
        <w:pStyle w:val="Heading2"/>
      </w:pPr>
      <w:r>
        <w:t>Regeste</w:t>
      </w:r>
    </w:p>
    <w:p>
      <w:r>
        <w:t>AVOCAT D'OFFICE, ASSISTANCE JUDICIAIRE | 132 al. 2 CPP (CH), 132 al. 3 CPP (CH),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Il en va de même de la pièce nouvelle produite (CREP 21 novembre 2013/694), bien qu’elle soit sans portée.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la première condition de la défense d’office, soit l’indigence du prévenu (art. 132 al. 1 let. b CPP), paraît réalisée. Peu importe toutefois, au vu de ce qui suit. Il ne s’agit pas d’un cas de défense obligatoire, motif pris en particulier que le prévenu n’encourt pas une peine privative de liberté de plus d’un an ou une mesure entraînant une privation de liberté (art. 130 let. b CPP). Cela étant, l’affaire est de peu de gravité au sens de l’art. 132 al. 3 CPP au vu de la peine à laquelle le recourant est concrètement exposé par suite du renvoi de la cause devant le tribunal de police (art. 356 al. 1 CPP). En effet, d’abord, la peine prononcée par l’ordonnance pénale du 23 avril 2015 est inférieure à la limite fixée par l’art. 132 al. 3 CPP. Ensuite, même si, contrairement à ce que soutient le recourant, la peine prononcée semble clémente s’agissant d’un multirécidiviste en matière de délinquance routière, le prévenu ne paraît pas pour autant passible d’une peine privative de liberté de plus de quatre mois, celle fixée par l’ordonnance pénale étant modestement de 90 jours. En outre, la cause ne présente aucune difficulté, sur le plan des faits ou du droit, que le recourant ne pourrait surmonter seul. L’établissement des faits et leur appréciation, en particulier, n’apparaissent en rien malaisés, même pour une partie qui ignorerait tout du droit et des procédures judiciaires. Bien plutôt, les actes incriminés et leurs conséquences juridiques sont d’une particulière simplicité, le recourant se prévalant du reste du caractère mineur des infractions au préjudice de [...] dont il lui est fait grief. Le plaignant n’est pas assisté. Peu importe dès lors que les faits soient partiellement contestés, le prévenu excipant du consentement du propriétaire du jardin. Enfin, le recourant allègue le risque de perte de son emploi d’étancheur dans l’éventualité d’une condamnation à une peine privative de liberté (recours, p. 11 in initio). On ne voit toutefois pas pour quel motif une telle perte d’emploi pourrait intervenir et le recourant n’allègue pas le lien entre l’emploi et la peine, d’autant plus que le prévenu bénéficiera du régime de la semi-détention si les conditions d’application de l’art. 79 al. 1 CP (Code pénal; RS 311) devaient être tenues pour réalisées par l’autorité d’application des peines. Au vu de ce qui précède, on ne saurait admettre que l’assistance d’un défenseur soit nécessaire à la sauvegarde des intérêts du prévenu au sens de l'art. 132 al. 1 let. b CPP.</w:t>
      </w:r>
    </w:p>
    <w:p>
      <w:r>
        <w:rPr>
          <w:b/>
        </w:rPr>
        <w:t>E. 3</w:t>
      </w:r>
    </w:p>
    <w:p>
      <w:r>
        <w:t>En définitive, le recours, manifestement mal fondé, doit être rejeté sans autres échanges d’écritures (art. 390 al. 2 CPP) et l’ordonnance attaquée confirmée. La requête tendant à la désignation du mandataire du recourant en qualité de défenseur d’office pour la procédure devant la Cour de céans doit également être rejetée, le recours apparaissant d’emblée dénué de chances de succès (cf. CREP 27 février 2015/153; CREP 20 novembre 2014/833; CREP 2 mai 2014/316 c. 4b). Les frais de la procédure de recours, constitués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 er juin 2015 est confirmée. III. La requête tendant à la désignation d’un défenseur d’office pour la procédure de recours est rejetée. IV. Les frais d’arrêt, par 660 fr. (six cent soixante francs), sont mis à la charge de S.________. V. Le présent arrêt est exécutoire. Le président :               Le greffier : Du Le présent arrêt, dont la rédaction a été approuvée à huis clos, est notifié, par l'envoi d'une copie complète, à : - M. Luc del Rizzo, avocat (pour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